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CCE2D1">
      <w:pPr>
        <w:spacing w:line="580" w:lineRule="exact"/>
        <w:jc w:val="center"/>
        <w:rPr>
          <w:rStyle w:val="10"/>
          <w:rFonts w:ascii="方正小标宋简体" w:hAnsi="黑体" w:eastAsia="方正小标宋简体"/>
          <w:sz w:val="44"/>
          <w:szCs w:val="44"/>
        </w:rPr>
      </w:pPr>
      <w:r>
        <w:rPr>
          <w:rStyle w:val="10"/>
          <w:rFonts w:hint="eastAsia" w:ascii="方正小标宋简体" w:hAnsi="黑体" w:eastAsia="方正小标宋简体"/>
          <w:sz w:val="44"/>
          <w:szCs w:val="44"/>
        </w:rPr>
        <w:t>月山镇2025年财政预算执行情况及2026年财政预算（草案）的报告</w:t>
      </w:r>
    </w:p>
    <w:p w14:paraId="15AAA085">
      <w:pPr>
        <w:pStyle w:val="6"/>
        <w:snapToGrid w:val="0"/>
        <w:spacing w:before="0" w:beforeAutospacing="0" w:after="0" w:afterAutospacing="0" w:line="560" w:lineRule="exact"/>
        <w:jc w:val="center"/>
        <w:rPr>
          <w:rFonts w:ascii="楷体_GB2312" w:eastAsia="楷体_GB2312" w:cs="楷体_GB2312"/>
          <w:b/>
          <w:spacing w:val="-6"/>
          <w:sz w:val="32"/>
        </w:rPr>
      </w:pPr>
      <w:r>
        <w:rPr>
          <w:rFonts w:hint="eastAsia" w:eastAsia="宋体"/>
          <w:spacing w:val="-6"/>
          <w:sz w:val="32"/>
        </w:rPr>
        <w:t>——</w:t>
      </w:r>
      <w:r>
        <w:rPr>
          <w:rFonts w:hint="eastAsia" w:ascii="楷体_GB2312" w:hAnsi="Times New Roman" w:eastAsia="楷体_GB2312" w:cs="楷体_GB2312"/>
          <w:b/>
          <w:spacing w:val="-6"/>
          <w:sz w:val="32"/>
        </w:rPr>
        <w:t>2026年3月6</w:t>
      </w:r>
      <w:r>
        <w:rPr>
          <w:rFonts w:hint="eastAsia" w:eastAsia="宋体"/>
          <w:b/>
          <w:bCs/>
          <w:spacing w:val="-6"/>
          <w:sz w:val="32"/>
        </w:rPr>
        <w:t>日</w:t>
      </w:r>
      <w:r>
        <w:rPr>
          <w:rFonts w:hint="eastAsia" w:ascii="楷体_GB2312" w:hAnsi="Times New Roman" w:eastAsia="楷体_GB2312" w:cs="楷体_GB2312"/>
          <w:b/>
          <w:spacing w:val="-6"/>
          <w:sz w:val="32"/>
        </w:rPr>
        <w:t xml:space="preserve">在月山镇第七届人民代表大会第十次会议上     </w:t>
      </w:r>
    </w:p>
    <w:p w14:paraId="02F0A161">
      <w:pPr>
        <w:adjustRightInd w:val="0"/>
        <w:snapToGrid w:val="0"/>
        <w:spacing w:line="580" w:lineRule="exact"/>
        <w:jc w:val="center"/>
        <w:rPr>
          <w:rFonts w:ascii="楷体_GB2312" w:eastAsia="楷体_GB2312" w:cs="楷体_GB2312"/>
          <w:b/>
          <w:spacing w:val="-6"/>
          <w:kern w:val="0"/>
        </w:rPr>
      </w:pPr>
      <w:r>
        <w:rPr>
          <w:rFonts w:hint="eastAsia" w:ascii="楷体_GB2312" w:eastAsia="楷体_GB2312" w:cs="楷体_GB2312"/>
          <w:b/>
          <w:spacing w:val="-6"/>
          <w:kern w:val="0"/>
        </w:rPr>
        <w:t>月山镇财政办公室主任  陈丹杰</w:t>
      </w:r>
    </w:p>
    <w:p w14:paraId="26A66582">
      <w:pPr>
        <w:spacing w:line="606" w:lineRule="exact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各位代表：</w:t>
      </w:r>
    </w:p>
    <w:p w14:paraId="7ED5475E">
      <w:pPr>
        <w:spacing w:line="606" w:lineRule="exact"/>
        <w:ind w:firstLine="960" w:firstLineChars="3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受镇人民政府的委托，现向大会提交2025年财政预算执行情况和2026年财政预算（草案）报告，请予审查，并请列席会议的同志提出意见。</w:t>
      </w:r>
    </w:p>
    <w:p w14:paraId="775E164B">
      <w:pPr>
        <w:pStyle w:val="7"/>
        <w:ind w:firstLine="640"/>
        <w:rPr>
          <w:rFonts w:ascii="黑体" w:hAnsi="宋体" w:eastAsia="黑体" w:cs="黑体"/>
          <w:color w:val="333333"/>
          <w:szCs w:val="32"/>
        </w:rPr>
      </w:pPr>
      <w:r>
        <w:rPr>
          <w:rFonts w:ascii="黑体" w:hAnsi="宋体" w:eastAsia="黑体" w:cs="黑体"/>
          <w:color w:val="333333"/>
          <w:szCs w:val="32"/>
        </w:rPr>
        <w:t>一、</w:t>
      </w:r>
      <w:r>
        <w:rPr>
          <w:color w:val="333333"/>
          <w:szCs w:val="32"/>
        </w:rPr>
        <w:t>202</w:t>
      </w:r>
      <w:r>
        <w:rPr>
          <w:rFonts w:hint="eastAsia"/>
          <w:color w:val="333333"/>
          <w:szCs w:val="32"/>
          <w:lang w:val="en-US" w:eastAsia="zh-CN"/>
        </w:rPr>
        <w:t>5</w:t>
      </w:r>
      <w:r>
        <w:rPr>
          <w:rFonts w:hint="eastAsia" w:ascii="黑体" w:hAnsi="宋体" w:eastAsia="黑体" w:cs="黑体"/>
          <w:color w:val="333333"/>
          <w:szCs w:val="32"/>
        </w:rPr>
        <w:t>年财政预算执行情况</w:t>
      </w:r>
    </w:p>
    <w:p w14:paraId="271E2155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2025年以来，我镇的财政工作紧紧围绕镇党委、政府确定的经济目标，充分发挥职能作用，全面落实政府过“紧日子”要求，把财政资金用在关键地方上，提高财政资金配置效率。</w:t>
      </w:r>
    </w:p>
    <w:p w14:paraId="14E849CA">
      <w:pPr>
        <w:pStyle w:val="7"/>
        <w:ind w:firstLine="320" w:firstLineChars="100"/>
        <w:rPr>
          <w:rFonts w:ascii="楷体_GB2312" w:hAnsi="宋体" w:eastAsia="楷体_GB2312" w:cstheme="minorBidi"/>
          <w:szCs w:val="32"/>
        </w:rPr>
      </w:pPr>
      <w:r>
        <w:rPr>
          <w:rFonts w:hint="eastAsia" w:ascii="楷体_GB2312" w:hAnsi="宋体" w:eastAsia="楷体_GB2312" w:cstheme="minorBidi"/>
          <w:szCs w:val="32"/>
        </w:rPr>
        <w:t>（一）财政预算收入完成情况</w:t>
      </w:r>
    </w:p>
    <w:p w14:paraId="6E984F78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2025年我镇财政预算总收入5388.56万元，分别为：</w:t>
      </w:r>
    </w:p>
    <w:p w14:paraId="25FCA022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1、税收完成1169.03万元。其中目录内税收654.41万元，总部经济514.62万元。</w:t>
      </w:r>
    </w:p>
    <w:p w14:paraId="65EB5133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2、财政拨款收入3257.61万元。</w:t>
      </w:r>
    </w:p>
    <w:p w14:paraId="187FB5BC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3、代管资金收入1055.37万元。</w:t>
      </w:r>
    </w:p>
    <w:p w14:paraId="1DF902D2">
      <w:pPr>
        <w:pStyle w:val="7"/>
        <w:ind w:firstLine="320" w:firstLineChars="100"/>
        <w:rPr>
          <w:rFonts w:ascii="楷体_GB2312" w:hAnsi="宋体" w:eastAsia="楷体_GB2312" w:cstheme="minorBidi"/>
          <w:szCs w:val="32"/>
        </w:rPr>
      </w:pPr>
      <w:r>
        <w:rPr>
          <w:rFonts w:hint="eastAsia" w:ascii="楷体_GB2312" w:hAnsi="宋体" w:eastAsia="楷体_GB2312" w:cstheme="minorBidi"/>
          <w:szCs w:val="32"/>
        </w:rPr>
        <w:t>（二）财政预算支出情况</w:t>
      </w:r>
    </w:p>
    <w:p w14:paraId="79D17174">
      <w:pPr>
        <w:spacing w:line="606" w:lineRule="exact"/>
        <w:ind w:firstLine="640" w:firstLineChars="200"/>
        <w:rPr>
          <w:rFonts w:ascii="仿宋" w:hAnsi="仿宋" w:eastAsia="仿宋" w:cs="仿宋"/>
          <w:color w:val="FF0000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2025年我镇财政支出为5388.56万元，分别为：</w:t>
      </w:r>
    </w:p>
    <w:p w14:paraId="27F18965">
      <w:pPr>
        <w:spacing w:line="606" w:lineRule="exact"/>
        <w:ind w:firstLine="640" w:firstLineChars="200"/>
        <w:rPr>
          <w:rFonts w:ascii="仿宋" w:hAnsi="仿宋" w:eastAsia="仿宋" w:cs="仿宋"/>
          <w:color w:val="FF0000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1、一般公共预算支出3257.61万元，其中：</w:t>
      </w:r>
    </w:p>
    <w:p w14:paraId="2C7F0DEC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（1）一般公共服务支出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1642.73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万元；分别为：</w:t>
      </w:r>
    </w:p>
    <w:p w14:paraId="50BE01C3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党委办公室及相关机构事务支出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28.19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万元；政府办公室及相关机构事务支出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1336.27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万元；财政税收事务支出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58.52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万元；商贸及经发事务支出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54.81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万元，群团事务支出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127.59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万元，宣传事务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支出11.13万元，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其他一般公共服务支出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26.22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万元。</w:t>
      </w:r>
    </w:p>
    <w:p w14:paraId="46005A52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（2）公共安全支出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100.83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7BBDD843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（3）文化旅游体育与传媒支出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23.85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7D44FBE8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（4）社会保障和就业支出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225.21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0B4FA0AA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（5）卫生健康支出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1.4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3A9FC6E2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（6）节能环保支出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26.99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22173D2B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（7）城乡社区事务支出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47.58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33AF3FAE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（8）农林水支出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1122.57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701E4399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）自然资源海洋气象支出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25.78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14FA5264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（1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）其他支出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40.67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万元。</w:t>
      </w:r>
    </w:p>
    <w:p w14:paraId="1754B302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（1</w:t>
      </w:r>
      <w:r>
        <w:rPr>
          <w:rFonts w:hint="eastAsia" w:ascii="仿宋" w:hAnsi="仿宋" w:eastAsia="仿宋" w:cs="仿宋"/>
          <w:kern w:val="0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kern w:val="0"/>
          <w:shd w:val="clear" w:color="auto" w:fill="FFFFFF"/>
        </w:rPr>
        <w:t>）上解税收支出1169.03万元。</w:t>
      </w:r>
    </w:p>
    <w:p w14:paraId="59B3E356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2、代管资金支出961.92万元。</w:t>
      </w:r>
    </w:p>
    <w:p w14:paraId="2091FF26">
      <w:pPr>
        <w:pStyle w:val="7"/>
        <w:ind w:firstLine="320" w:firstLineChars="100"/>
        <w:rPr>
          <w:rFonts w:ascii="楷体_GB2312" w:hAnsi="宋体" w:eastAsia="楷体_GB2312" w:cstheme="minorBidi"/>
          <w:szCs w:val="32"/>
        </w:rPr>
      </w:pPr>
      <w:r>
        <w:rPr>
          <w:rFonts w:hint="eastAsia" w:ascii="楷体_GB2312" w:hAnsi="宋体" w:eastAsia="楷体_GB2312" w:cstheme="minorBidi"/>
          <w:szCs w:val="32"/>
        </w:rPr>
        <w:t>（三）财政收支平衡情况</w:t>
      </w:r>
    </w:p>
    <w:p w14:paraId="7722D280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2024年结转1379.89万元（补助收入结转1289.98万元，代管资金结转89.91万元），2025年财政总收入5388.56万元，2025年财政总支出5388.56万元，结转下年资金2243.38万元（补助收入结转2024.19万元，代管资金结转219.19万元）。</w:t>
      </w:r>
    </w:p>
    <w:p w14:paraId="438CEDC8">
      <w:pPr>
        <w:pStyle w:val="7"/>
        <w:ind w:firstLine="320" w:firstLineChars="100"/>
        <w:rPr>
          <w:rFonts w:ascii="楷体_GB2312" w:hAnsi="宋体" w:eastAsia="楷体_GB2312" w:cstheme="minorBidi"/>
          <w:szCs w:val="32"/>
        </w:rPr>
      </w:pPr>
      <w:r>
        <w:rPr>
          <w:rFonts w:hint="eastAsia" w:ascii="楷体_GB2312" w:hAnsi="宋体" w:eastAsia="楷体_GB2312" w:cstheme="minorBidi"/>
          <w:szCs w:val="32"/>
        </w:rPr>
        <w:t>（四）2025年财政工作开展情况</w:t>
      </w:r>
    </w:p>
    <w:p w14:paraId="26FE9FD6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2025年月山镇财政所在镇党委、政府的正确领导下，紧紧围绕财政中心工作和目标任务，充分发挥职能作用，主要做了以下几个方面工作：</w:t>
      </w:r>
    </w:p>
    <w:p w14:paraId="582B4594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bookmarkStart w:id="0" w:name="98e797178dab4c049581a6f7e59b301d"/>
      <w:r>
        <w:rPr>
          <w:rFonts w:hint="eastAsia" w:ascii="仿宋" w:hAnsi="仿宋" w:eastAsia="仿宋" w:cs="仿宋"/>
          <w:kern w:val="0"/>
          <w:shd w:val="clear" w:color="auto" w:fill="FFFFFF"/>
        </w:rPr>
        <w:t>（一）财源建设平稳，</w:t>
      </w:r>
      <w:bookmarkEnd w:id="0"/>
      <w:r>
        <w:rPr>
          <w:rFonts w:hint="eastAsia" w:ascii="仿宋" w:hAnsi="仿宋" w:eastAsia="仿宋" w:cs="仿宋"/>
          <w:kern w:val="0"/>
          <w:shd w:val="clear" w:color="auto" w:fill="FFFFFF"/>
        </w:rPr>
        <w:t>财政增收维持稳定</w:t>
      </w:r>
    </w:p>
    <w:p w14:paraId="5E00C0C1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bookmarkStart w:id="1" w:name="69ff9496e8084290bb5fc0a3bb4662f1"/>
      <w:r>
        <w:rPr>
          <w:rFonts w:hint="eastAsia" w:ascii="仿宋" w:hAnsi="仿宋" w:eastAsia="仿宋" w:cs="仿宋"/>
          <w:kern w:val="0"/>
          <w:shd w:val="clear" w:color="auto" w:fill="FFFFFF"/>
        </w:rPr>
        <w:t>面对复杂多变的经济形势，我们坚持稳中求进工作总基调，依法依规组织财政收入，全力挖掘增收潜力。</w:t>
      </w:r>
      <w:bookmarkEnd w:id="1"/>
    </w:p>
    <w:p w14:paraId="63A803CC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bookmarkStart w:id="2" w:name="22ae2389a486485b8def608761e747c5"/>
      <w:r>
        <w:rPr>
          <w:rFonts w:hint="eastAsia" w:ascii="仿宋" w:hAnsi="仿宋" w:eastAsia="仿宋" w:cs="仿宋"/>
          <w:kern w:val="0"/>
          <w:shd w:val="clear" w:color="auto" w:fill="FFFFFF"/>
        </w:rPr>
        <w:t>（二）财政管理强基固本，会计基础更加</w:t>
      </w:r>
      <w:bookmarkEnd w:id="2"/>
      <w:r>
        <w:rPr>
          <w:rFonts w:hint="eastAsia" w:ascii="仿宋" w:hAnsi="仿宋" w:eastAsia="仿宋" w:cs="仿宋"/>
          <w:kern w:val="0"/>
          <w:shd w:val="clear" w:color="auto" w:fill="FFFFFF"/>
        </w:rPr>
        <w:t>稳固</w:t>
      </w:r>
    </w:p>
    <w:p w14:paraId="3813941B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bookmarkStart w:id="3" w:name="be53f66aa904472185834dde6f946167"/>
      <w:r>
        <w:rPr>
          <w:rFonts w:hint="eastAsia" w:ascii="仿宋" w:hAnsi="仿宋" w:eastAsia="仿宋" w:cs="仿宋"/>
          <w:kern w:val="0"/>
          <w:shd w:val="clear" w:color="auto" w:fill="FFFFFF"/>
        </w:rPr>
        <w:t>实施财政基础管理“强基固本”行动。从银行账户清理规范、会计基础工作夯实、乡镇财政资金使用管理等多个方面进行了自查与规范。会计基础工作薄弱环节得到有效改善，内部控制有效性增强，风险防控能力提高。有效建立长效机制，确保会计工作规范化、标准化、精细化，为单位的健康持续发展提供坚实保障。</w:t>
      </w:r>
    </w:p>
    <w:p w14:paraId="5D18CA0D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（三）惠农政策精准落实，民生福祉显著提升</w:t>
      </w:r>
      <w:bookmarkEnd w:id="3"/>
    </w:p>
    <w:p w14:paraId="66DC1CC1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补贴发放零差错：依托“一卡通”系统，全年发放耕地地力保护补贴、种粮一次性补贴、低保金、特困供养金等各类惠农补贴61项，共计4166.5万元，惠及群众7.69万人次，确保了党和政府的惠民政策落到实处。</w:t>
      </w:r>
    </w:p>
    <w:p w14:paraId="70A35DBB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乡村振兴有力支持：统筹财政衔接资金221.19万元，改善了农业生产条件；投入137万元用于村级小型农业水利建设，解决了群众“急难愁盼”问题。</w:t>
      </w:r>
    </w:p>
    <w:p w14:paraId="54D9F2E6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bookmarkStart w:id="4" w:name="d0cbffc16e124199b75a1714b409e525"/>
      <w:r>
        <w:rPr>
          <w:rFonts w:hint="eastAsia" w:ascii="仿宋" w:hAnsi="仿宋" w:eastAsia="仿宋" w:cs="仿宋"/>
          <w:kern w:val="0"/>
          <w:shd w:val="clear" w:color="auto" w:fill="FFFFFF"/>
        </w:rPr>
        <w:t>（四）财政监管不断强化，财务风险防线筑牢</w:t>
      </w:r>
      <w:bookmarkEnd w:id="4"/>
    </w:p>
    <w:p w14:paraId="1BAA2958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债务风险管控：全面摸排政府性债务，建立动态监测台账，制定“一债一策”化解方案。全年完成政府债券偿还拖欠企业账款金额共计354.75万元，涉及十余个项目。化解了困扰多年的拖欠问题，消除了长期存在的信访隐患。树立了“诚信政府”的良好形象，为招商引资和乡村振兴战略的实施营造了风清气正的营商环境。</w:t>
      </w:r>
    </w:p>
    <w:p w14:paraId="1196FAC9">
      <w:pPr>
        <w:spacing w:line="606" w:lineRule="exact"/>
        <w:ind w:firstLine="640" w:firstLineChars="200"/>
        <w:rPr>
          <w:rFonts w:ascii="仿宋" w:hAnsi="仿宋" w:eastAsia="仿宋" w:cs="仿宋"/>
          <w:color w:val="FF0000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内部审计与整改：对辖区内19个行政村开展了财务清理及村级财务审计，发现并整改问题40条，规范了财务管理流程，提升了资金使用效益。</w:t>
      </w:r>
    </w:p>
    <w:p w14:paraId="239622CA">
      <w:pPr>
        <w:pStyle w:val="6"/>
        <w:spacing w:before="0" w:beforeAutospacing="0" w:after="0" w:afterAutospacing="0" w:line="600" w:lineRule="atLeast"/>
        <w:ind w:firstLine="640"/>
        <w:rPr>
          <w:rFonts w:ascii="黑体" w:hAnsi="黑体" w:eastAsia="黑体" w:cstheme="minorBidi"/>
          <w:kern w:val="2"/>
          <w:sz w:val="32"/>
        </w:rPr>
      </w:pPr>
      <w:r>
        <w:rPr>
          <w:rFonts w:hint="eastAsia" w:ascii="黑体" w:hAnsi="黑体" w:eastAsia="黑体" w:cstheme="minorBidi"/>
          <w:kern w:val="2"/>
          <w:sz w:val="32"/>
        </w:rPr>
        <w:t>二、</w:t>
      </w:r>
      <w:r>
        <w:rPr>
          <w:rFonts w:ascii="黑体" w:hAnsi="黑体" w:eastAsia="黑体" w:cstheme="minorBidi"/>
          <w:kern w:val="2"/>
          <w:sz w:val="32"/>
        </w:rPr>
        <w:t>202</w:t>
      </w:r>
      <w:r>
        <w:rPr>
          <w:rFonts w:hint="eastAsia" w:ascii="黑体" w:hAnsi="黑体" w:eastAsia="黑体" w:cstheme="minorBidi"/>
          <w:kern w:val="2"/>
          <w:sz w:val="32"/>
        </w:rPr>
        <w:t>6年财政预算草案</w:t>
      </w:r>
    </w:p>
    <w:p w14:paraId="123F63FB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2026年，围绕面临的形势和发展的需要，结合我镇实际情况与目标任务，遵循以收定支、零基预算、突出重点、厉行节约、绩效导向和全口径预算等基本原则编制了2026年预算草案，具体如下：</w:t>
      </w:r>
    </w:p>
    <w:p w14:paraId="74D30152">
      <w:pPr>
        <w:pStyle w:val="6"/>
        <w:numPr>
          <w:ilvl w:val="0"/>
          <w:numId w:val="1"/>
        </w:numPr>
        <w:spacing w:before="0" w:beforeAutospacing="0" w:after="0" w:afterAutospacing="0" w:line="600" w:lineRule="atLeast"/>
        <w:ind w:firstLine="640"/>
        <w:rPr>
          <w:rFonts w:ascii="楷体_GB2312" w:eastAsia="楷体_GB2312" w:cstheme="minorBidi"/>
          <w:kern w:val="2"/>
          <w:sz w:val="32"/>
        </w:rPr>
      </w:pPr>
      <w:r>
        <w:rPr>
          <w:rFonts w:hint="eastAsia" w:ascii="楷体_GB2312" w:eastAsia="楷体_GB2312" w:cstheme="minorBidi"/>
          <w:kern w:val="2"/>
          <w:sz w:val="32"/>
        </w:rPr>
        <w:t>预算收入情况</w:t>
      </w:r>
    </w:p>
    <w:p w14:paraId="45D09A80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2026年财政预算总收入4917.67万元，分别为</w:t>
      </w:r>
    </w:p>
    <w:p w14:paraId="2A1E36E2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1、税收收入1137.60万元；</w:t>
      </w:r>
    </w:p>
    <w:p w14:paraId="64886DA2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2、一般公共预算收入2838.87万元；</w:t>
      </w:r>
    </w:p>
    <w:p w14:paraId="19B6AA84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3、代管资金收入941.20万元。</w:t>
      </w:r>
    </w:p>
    <w:p w14:paraId="48DCFCB5">
      <w:pPr>
        <w:pStyle w:val="6"/>
        <w:spacing w:before="0" w:beforeAutospacing="0" w:after="0" w:afterAutospacing="0" w:line="600" w:lineRule="atLeast"/>
        <w:ind w:firstLine="640"/>
        <w:rPr>
          <w:rFonts w:ascii="楷体_GB2312" w:eastAsia="楷体_GB2312" w:cstheme="minorBidi"/>
          <w:kern w:val="2"/>
          <w:sz w:val="32"/>
        </w:rPr>
      </w:pPr>
      <w:r>
        <w:rPr>
          <w:rFonts w:hint="eastAsia" w:ascii="楷体_GB2312" w:eastAsia="楷体_GB2312" w:cstheme="minorBidi"/>
          <w:kern w:val="2"/>
          <w:sz w:val="32"/>
        </w:rPr>
        <w:t>（二）预算支出情况</w:t>
      </w:r>
    </w:p>
    <w:p w14:paraId="05A99E5D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2026年财政预算总支出4917.67万元，分别为：</w:t>
      </w:r>
    </w:p>
    <w:p w14:paraId="47DE5F42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1、一般公共预算支出2838.87万元，分别为：</w:t>
      </w:r>
    </w:p>
    <w:p w14:paraId="54DC1D2D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（1）一般公共服务支出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1431.64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万元，其中：政府办公室及相关机构事务支出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1165.06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万元，财政事务支出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51.00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万元，党委办公室及相关机构事务支出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24.57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万元，商贸经发事务支出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47.27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万元，群团事务支出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111.19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万元，宣传事务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支出9.70万元，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其他一般公共服务支出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22.85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6BED0DC5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（2）公共安全支出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87.87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26588C47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（3）文化旅游体育与传媒支出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20.79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76B9DD9E">
      <w:pPr>
        <w:spacing w:line="606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（4）社会保障和就业支出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196.27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2AAABB04">
      <w:pPr>
        <w:spacing w:line="606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（5）卫生健康支出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1.22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5278A802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）节能环保支出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23.52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30EFB370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7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）城乡社区支出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41.47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003D7A7B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）农林水支出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978.32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4C165CCF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）自然资源海洋气象支出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22.47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72477325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10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）其他支出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35.30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万元；</w:t>
      </w:r>
    </w:p>
    <w:p w14:paraId="48AD4327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（1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）上解税收支出1137.60万元；</w:t>
      </w:r>
    </w:p>
    <w:p w14:paraId="196A0CF5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3、代管资金支出941.20万元。</w:t>
      </w:r>
    </w:p>
    <w:p w14:paraId="66676E49">
      <w:pPr>
        <w:pStyle w:val="6"/>
        <w:spacing w:before="0" w:beforeAutospacing="0" w:after="0" w:afterAutospacing="0" w:line="600" w:lineRule="atLeast"/>
        <w:ind w:firstLine="640"/>
        <w:rPr>
          <w:rFonts w:ascii="楷体_GB2312" w:eastAsia="楷体_GB2312" w:cstheme="minorBidi"/>
          <w:color w:val="auto"/>
          <w:kern w:val="2"/>
          <w:sz w:val="32"/>
        </w:rPr>
      </w:pPr>
      <w:r>
        <w:rPr>
          <w:rFonts w:hint="eastAsia" w:ascii="楷体_GB2312" w:eastAsia="楷体_GB2312" w:cstheme="minorBidi"/>
          <w:color w:val="auto"/>
          <w:kern w:val="2"/>
          <w:sz w:val="32"/>
        </w:rPr>
        <w:t>（三）预算收支平衡情况</w:t>
      </w:r>
    </w:p>
    <w:p w14:paraId="3B9F5045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预计2026年收支相抵后，基本平衡。</w:t>
      </w:r>
    </w:p>
    <w:p w14:paraId="6ADC9586">
      <w:pPr>
        <w:pStyle w:val="7"/>
        <w:ind w:firstLine="640"/>
        <w:rPr>
          <w:rFonts w:ascii="黑体" w:hAnsi="黑体" w:eastAsia="黑体" w:cstheme="minorBidi"/>
          <w:color w:val="auto"/>
          <w:szCs w:val="32"/>
        </w:rPr>
      </w:pPr>
      <w:r>
        <w:rPr>
          <w:rFonts w:hint="eastAsia" w:ascii="黑体" w:hAnsi="黑体" w:eastAsia="黑体" w:cstheme="minorBidi"/>
          <w:color w:val="auto"/>
          <w:szCs w:val="32"/>
        </w:rPr>
        <w:t>三、2026年财政工作思路</w:t>
      </w:r>
    </w:p>
    <w:p w14:paraId="72092EDE">
      <w:pPr>
        <w:spacing w:line="606" w:lineRule="exact"/>
        <w:ind w:firstLine="640" w:firstLineChars="200"/>
        <w:rPr>
          <w:rFonts w:ascii="仿宋" w:hAnsi="仿宋" w:eastAsia="仿宋" w:cs="仿宋"/>
          <w:color w:val="auto"/>
          <w:kern w:val="0"/>
          <w:shd w:val="clear" w:color="auto" w:fill="FFFFFF"/>
        </w:rPr>
      </w:pPr>
      <w:bookmarkStart w:id="5" w:name="d9dacfca35dc4b6791c47a88628b16b6"/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（一）开源节流，做大财政“蛋糕”</w:t>
      </w:r>
      <w:bookmarkEnd w:id="5"/>
    </w:p>
    <w:p w14:paraId="100994BC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kern w:val="0"/>
          <w:shd w:val="clear" w:color="auto" w:fill="FFFFFF"/>
        </w:rPr>
        <w:t>强化税收征管：加强与税务部门的</w:t>
      </w:r>
      <w:r>
        <w:rPr>
          <w:rFonts w:hint="eastAsia" w:ascii="仿宋" w:hAnsi="仿宋" w:eastAsia="仿宋" w:cs="仿宋"/>
          <w:kern w:val="0"/>
          <w:shd w:val="clear" w:color="auto" w:fill="FFFFFF"/>
        </w:rPr>
        <w:t>协作，建立协税护税机制，重点抓好</w:t>
      </w:r>
      <w:bookmarkStart w:id="9" w:name="_GoBack"/>
      <w:bookmarkEnd w:id="9"/>
      <w:r>
        <w:rPr>
          <w:rFonts w:hint="eastAsia" w:ascii="仿宋" w:hAnsi="仿宋" w:eastAsia="仿宋" w:cs="仿宋"/>
          <w:kern w:val="0"/>
          <w:shd w:val="clear" w:color="auto" w:fill="FFFFFF"/>
        </w:rPr>
        <w:t>重点行业税收管控，确保应收尽收。</w:t>
      </w:r>
    </w:p>
    <w:p w14:paraId="2BAD39D9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积极向上争资：抢抓政策机遇，精准策划包装项目，力争在中央预算内投资等方面取得突破，缓解财政压力。</w:t>
      </w:r>
    </w:p>
    <w:p w14:paraId="26EA6C85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bookmarkStart w:id="6" w:name="ba870eb5ae76428ea178d8c4a38d594b"/>
      <w:r>
        <w:rPr>
          <w:rFonts w:hint="eastAsia" w:ascii="仿宋" w:hAnsi="仿宋" w:eastAsia="仿宋" w:cs="仿宋"/>
          <w:kern w:val="0"/>
          <w:shd w:val="clear" w:color="auto" w:fill="FFFFFF"/>
        </w:rPr>
        <w:t>（二）优化支出，兜牢民生底线</w:t>
      </w:r>
      <w:bookmarkEnd w:id="6"/>
    </w:p>
    <w:p w14:paraId="2621E048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落实“过紧日子”要求：严控一般性支出，压减非急需非刚性项目，确保“三公”经费只减不增，将有限的资金用在刀刃上。严格落实“过紧日子”要求，对办公费、会议费、培训费、“三公”经费、差旅费等实行压减，切实提高财政资金使用效益。</w:t>
      </w:r>
    </w:p>
    <w:p w14:paraId="147AF413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强化民生保障：坚决保“三保”（保工资、保运转、保民生），优先保障乡村振兴、安全生产、生态环保等刚性支出，大力压减非急需、非刚性支出。优先保障基本民生支出。继续实施好乡村振兴战略，支持农村基础设施建设和人居环境整治。</w:t>
      </w:r>
    </w:p>
    <w:p w14:paraId="34A8778D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bookmarkStart w:id="7" w:name="d831173e8d974a20b2799ca33179d02f"/>
      <w:r>
        <w:rPr>
          <w:rFonts w:hint="eastAsia" w:ascii="仿宋" w:hAnsi="仿宋" w:eastAsia="仿宋" w:cs="仿宋"/>
          <w:kern w:val="0"/>
          <w:shd w:val="clear" w:color="auto" w:fill="FFFFFF"/>
        </w:rPr>
        <w:t>（三）加强监督，提升管理效能</w:t>
      </w:r>
      <w:bookmarkEnd w:id="7"/>
    </w:p>
    <w:p w14:paraId="5F41C098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加强财会监督：常态化开展财经纪律检查，重点加强对村级财务、惠农补贴发放的监管，严肃查处违规违纪行为。</w:t>
      </w:r>
    </w:p>
    <w:p w14:paraId="0845C688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强化队伍建设：定期组织业务培训，提升财政干部的政策水平和实操能力，打造一支忠诚、干净、担当的高素质财政干部队伍。</w:t>
      </w:r>
    </w:p>
    <w:p w14:paraId="10C27964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bookmarkStart w:id="8" w:name="0cad87e1bd694fe49d7e680cfefdbd7a"/>
      <w:r>
        <w:rPr>
          <w:rFonts w:hint="eastAsia" w:ascii="仿宋" w:hAnsi="仿宋" w:eastAsia="仿宋" w:cs="仿宋"/>
          <w:kern w:val="0"/>
          <w:shd w:val="clear" w:color="auto" w:fill="FFFFFF"/>
        </w:rPr>
        <w:t>（四）防范风险，确保财政安全</w:t>
      </w:r>
      <w:bookmarkEnd w:id="8"/>
    </w:p>
    <w:p w14:paraId="5A378506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严控债务增量：规范政府投资项目审批，坚决遏制新增隐性债务。</w:t>
      </w:r>
    </w:p>
    <w:p w14:paraId="3DF572FC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化解存量债务：综合运用预算安排、资产处置等方式，稳妥有序化解存量债务，确保财政可持续发展。</w:t>
      </w:r>
    </w:p>
    <w:p w14:paraId="419A27DD">
      <w:pPr>
        <w:spacing w:line="606" w:lineRule="exact"/>
        <w:ind w:firstLine="640" w:firstLineChars="200"/>
        <w:rPr>
          <w:rFonts w:ascii="仿宋" w:hAnsi="仿宋" w:eastAsia="仿宋" w:cs="仿宋"/>
          <w:kern w:val="0"/>
          <w:shd w:val="clear" w:color="auto" w:fill="FFFFFF"/>
        </w:rPr>
      </w:pPr>
      <w:r>
        <w:rPr>
          <w:rFonts w:hint="eastAsia" w:ascii="仿宋" w:hAnsi="仿宋" w:eastAsia="仿宋" w:cs="仿宋"/>
          <w:kern w:val="0"/>
          <w:shd w:val="clear" w:color="auto" w:fill="FFFFFF"/>
        </w:rPr>
        <w:t>各位代表，做好2026年财政工作，责任重大，使命光荣，我们将在镇党委、政府的坚强领导下，在镇人大的依法监督和指导下，依法理财，服务民生，确保2026年财政预算和各项工作圆满完成，为促进全镇经济社会和谐发展作出贡献！</w:t>
      </w:r>
    </w:p>
    <w:sectPr>
      <w:pgSz w:w="11906" w:h="16838"/>
      <w:pgMar w:top="1440" w:right="1293" w:bottom="1440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DB5E3E"/>
    <w:multiLevelType w:val="singleLevel"/>
    <w:tmpl w:val="97DB5E3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jNzgzNTRhYjI3ZmQ0YThiNzIyYjQ4ODI2MWYxMzcifQ=="/>
  </w:docVars>
  <w:rsids>
    <w:rsidRoot w:val="001B598C"/>
    <w:rsid w:val="001B598C"/>
    <w:rsid w:val="00D319D1"/>
    <w:rsid w:val="099B3E60"/>
    <w:rsid w:val="0ACD6BE9"/>
    <w:rsid w:val="10E7771F"/>
    <w:rsid w:val="19541873"/>
    <w:rsid w:val="1B745632"/>
    <w:rsid w:val="1F6D17E2"/>
    <w:rsid w:val="23156803"/>
    <w:rsid w:val="24A777A7"/>
    <w:rsid w:val="25737086"/>
    <w:rsid w:val="279C5F0C"/>
    <w:rsid w:val="29450CDA"/>
    <w:rsid w:val="33E7535C"/>
    <w:rsid w:val="36811A63"/>
    <w:rsid w:val="373661CB"/>
    <w:rsid w:val="3D0627A6"/>
    <w:rsid w:val="3F531FF2"/>
    <w:rsid w:val="42FB5ACB"/>
    <w:rsid w:val="44B71ED5"/>
    <w:rsid w:val="46932F86"/>
    <w:rsid w:val="48421232"/>
    <w:rsid w:val="4A4B3183"/>
    <w:rsid w:val="553D0CAF"/>
    <w:rsid w:val="613262E2"/>
    <w:rsid w:val="61EE7AD3"/>
    <w:rsid w:val="63492B1E"/>
    <w:rsid w:val="64A21A2D"/>
    <w:rsid w:val="6E1761E8"/>
    <w:rsid w:val="71655B6B"/>
    <w:rsid w:val="78D02FC1"/>
    <w:rsid w:val="79E1602E"/>
    <w:rsid w:val="7A6B3339"/>
    <w:rsid w:val="7C7B11E8"/>
    <w:rsid w:val="7ED12790"/>
    <w:rsid w:val="7F3023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640" w:firstLineChars="200"/>
    </w:pPr>
    <w:rPr>
      <w:rFonts w:eastAsia="长城仿宋"/>
      <w:szCs w:val="24"/>
    </w:rPr>
  </w:style>
  <w:style w:type="paragraph" w:styleId="3">
    <w:name w:val="Body Text Indent 2"/>
    <w:basedOn w:val="1"/>
    <w:next w:val="1"/>
    <w:qFormat/>
    <w:uiPriority w:val="0"/>
    <w:pPr>
      <w:spacing w:afterLines="100" w:line="300" w:lineRule="auto"/>
      <w:ind w:firstLine="420" w:firstLineChars="200"/>
    </w:pPr>
    <w:rPr>
      <w:rFonts w:ascii="Arial" w:hAnsi="Arial" w:eastAsia="黑体"/>
      <w:szCs w:val="20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2"/>
    <w:next w:val="1"/>
    <w:unhideWhenUsed/>
    <w:qFormat/>
    <w:uiPriority w:val="99"/>
    <w:pPr>
      <w:ind w:firstLine="420"/>
    </w:pPr>
  </w:style>
  <w:style w:type="character" w:customStyle="1" w:styleId="10">
    <w:name w:val="NormalCharacter"/>
    <w:qFormat/>
    <w:uiPriority w:val="0"/>
  </w:style>
  <w:style w:type="paragraph" w:customStyle="1" w:styleId="11">
    <w:name w:val="正文二级标题"/>
    <w:qFormat/>
    <w:uiPriority w:val="1"/>
    <w:pPr>
      <w:spacing w:line="560" w:lineRule="exact"/>
      <w:ind w:firstLine="680"/>
      <w:jc w:val="both"/>
    </w:pPr>
    <w:rPr>
      <w:rFonts w:ascii="黑体" w:eastAsia="黑体" w:hAnsiTheme="minorHAnsi" w:cstheme="minorBidi"/>
      <w:b/>
      <w:sz w:val="34"/>
      <w:szCs w:val="22"/>
      <w:lang w:val="en-US" w:eastAsia="zh-CN" w:bidi="ar-SA"/>
    </w:rPr>
  </w:style>
  <w:style w:type="paragraph" w:customStyle="1" w:styleId="12">
    <w:name w:val="正文 文本"/>
    <w:qFormat/>
    <w:uiPriority w:val="1"/>
    <w:pPr>
      <w:spacing w:line="560" w:lineRule="exact"/>
      <w:ind w:firstLine="640"/>
      <w:jc w:val="both"/>
    </w:pPr>
    <w:rPr>
      <w:rFonts w:ascii="宋体" w:eastAsia="宋体" w:hAnsiTheme="minorHAnsi" w:cstheme="minorBidi"/>
      <w:sz w:val="32"/>
      <w:szCs w:val="22"/>
      <w:lang w:val="en-US" w:eastAsia="zh-CN" w:bidi="ar-SA"/>
    </w:rPr>
  </w:style>
  <w:style w:type="character" w:customStyle="1" w:styleId="13">
    <w:name w:val="页眉 Char"/>
    <w:basedOn w:val="9"/>
    <w:link w:val="5"/>
    <w:qFormat/>
    <w:uiPriority w:val="0"/>
    <w:rPr>
      <w:rFonts w:eastAsia="仿宋_GB2312"/>
      <w:kern w:val="2"/>
      <w:sz w:val="18"/>
      <w:szCs w:val="18"/>
    </w:rPr>
  </w:style>
  <w:style w:type="character" w:customStyle="1" w:styleId="14">
    <w:name w:val="页脚 Char"/>
    <w:basedOn w:val="9"/>
    <w:link w:val="4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ysczs</Company>
  <Pages>6</Pages>
  <Words>2556</Words>
  <Characters>2948</Characters>
  <Lines>3</Lines>
  <Paragraphs>6</Paragraphs>
  <TotalTime>1</TotalTime>
  <ScaleCrop>false</ScaleCrop>
  <LinksUpToDate>false</LinksUpToDate>
  <CharactersWithSpaces>2955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2024-04-16T02:51:00Z</dcterms:created>
  <dc:creator>Administrator</dc:creator>
  <cp:lastModifiedBy>陳丹傑7</cp:lastModifiedBy>
  <cp:lastPrinted>2026-03-03T08:27:00Z</cp:lastPrinted>
  <dcterms:modified xsi:type="dcterms:W3CDTF">2026-03-09T03:11:03Z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F78D73E7264B45838A5FDEFE699FBC2D_13</vt:lpwstr>
  </property>
  <property fmtid="{D5CDD505-2E9C-101B-9397-08002B2CF9AE}" pid="4" name="KSOTemplateDocerSaveRecord">
    <vt:lpwstr>eyJoZGlkIjoiMDM0YWEzNzQxYWJlMTA0YTcxNzA0NThhMDZlMDY2ZjgiLCJ1c2VySWQiOiI2MzcyMTI3MDYifQ==</vt:lpwstr>
  </property>
</Properties>
</file>