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68C9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黑体"/>
          <w:lang w:val="en-US" w:eastAsia="zh-CN"/>
        </w:rPr>
      </w:pPr>
      <w:r>
        <w:rPr>
          <w:rFonts w:hint="eastAsia" w:ascii="黑体" w:hAnsi="黑体" w:eastAsia="黑体" w:cs="黑体"/>
          <w:b w:val="0"/>
          <w:bCs w:val="0"/>
          <w:spacing w:val="-11"/>
          <w:sz w:val="32"/>
          <w:szCs w:val="32"/>
        </w:rPr>
        <w:t>附件</w:t>
      </w:r>
      <w:r>
        <w:rPr>
          <w:rFonts w:hint="eastAsia" w:ascii="黑体" w:hAnsi="黑体" w:eastAsia="黑体" w:cs="黑体"/>
          <w:b w:val="0"/>
          <w:bCs w:val="0"/>
          <w:spacing w:val="-11"/>
          <w:sz w:val="32"/>
          <w:szCs w:val="32"/>
          <w:lang w:val="en-US" w:eastAsia="zh-CN"/>
        </w:rPr>
        <w:t>1</w:t>
      </w:r>
    </w:p>
    <w:p w14:paraId="61C1384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楷体_GB2312" w:hAnsi="楷体_GB2312" w:eastAsia="楷体_GB2312" w:cs="楷体_GB2312"/>
          <w:spacing w:val="-15"/>
          <w:sz w:val="30"/>
          <w:szCs w:val="30"/>
        </w:rPr>
      </w:pPr>
      <w:r>
        <w:rPr>
          <w:rFonts w:hint="eastAsia" w:ascii="方正小标宋简体" w:hAnsi="方正小标宋简体" w:eastAsia="方正小标宋简体" w:cs="方正小标宋简体"/>
          <w:spacing w:val="-4"/>
          <w:sz w:val="44"/>
          <w:szCs w:val="44"/>
        </w:rPr>
        <w:t>202</w:t>
      </w:r>
      <w:r>
        <w:rPr>
          <w:rFonts w:hint="eastAsia" w:ascii="方正小标宋简体" w:hAnsi="方正小标宋简体" w:eastAsia="方正小标宋简体" w:cs="方正小标宋简体"/>
          <w:spacing w:val="-4"/>
          <w:sz w:val="44"/>
          <w:szCs w:val="44"/>
          <w:lang w:val="en-US" w:eastAsia="zh-CN"/>
        </w:rPr>
        <w:t>5</w:t>
      </w:r>
      <w:r>
        <w:rPr>
          <w:rFonts w:hint="eastAsia" w:ascii="方正小标宋简体" w:hAnsi="方正小标宋简体" w:eastAsia="方正小标宋简体" w:cs="方正小标宋简体"/>
          <w:spacing w:val="-4"/>
          <w:sz w:val="44"/>
          <w:szCs w:val="44"/>
        </w:rPr>
        <w:t>年行政执法</w:t>
      </w:r>
      <w:r>
        <w:rPr>
          <w:rFonts w:hint="eastAsia" w:ascii="方正小标宋简体" w:hAnsi="方正小标宋简体" w:eastAsia="方正小标宋简体" w:cs="方正小标宋简体"/>
          <w:spacing w:val="-4"/>
          <w:sz w:val="44"/>
          <w:szCs w:val="44"/>
          <w:lang w:eastAsia="zh-CN"/>
        </w:rPr>
        <w:t>案件</w:t>
      </w:r>
      <w:r>
        <w:rPr>
          <w:rFonts w:hint="eastAsia" w:ascii="方正小标宋简体" w:hAnsi="方正小标宋简体" w:eastAsia="方正小标宋简体" w:cs="方正小标宋简体"/>
          <w:spacing w:val="-4"/>
          <w:sz w:val="44"/>
          <w:szCs w:val="44"/>
        </w:rPr>
        <w:t>数据情况统计表</w:t>
      </w:r>
    </w:p>
    <w:p w14:paraId="63363E94">
      <w:pPr>
        <w:spacing w:line="219" w:lineRule="auto"/>
        <w:ind w:firstLine="270" w:firstLineChars="100"/>
        <w:rPr>
          <w:rFonts w:hint="eastAsia" w:ascii="楷体_GB2312" w:hAnsi="楷体_GB2312" w:eastAsia="楷体_GB2312" w:cs="楷体_GB2312"/>
          <w:spacing w:val="-15"/>
          <w:sz w:val="30"/>
          <w:szCs w:val="30"/>
          <w:lang w:eastAsia="zh-CN"/>
        </w:rPr>
      </w:pPr>
    </w:p>
    <w:p w14:paraId="752E95FB">
      <w:pPr>
        <w:spacing w:line="219" w:lineRule="auto"/>
        <w:ind w:firstLine="270" w:firstLineChars="100"/>
        <w:rPr>
          <w:rFonts w:hint="default" w:eastAsia="楷体_GB2312"/>
          <w:lang w:val="en-US" w:eastAsia="zh-CN"/>
        </w:rPr>
      </w:pPr>
      <w:r>
        <w:rPr>
          <w:rFonts w:hint="eastAsia" w:ascii="楷体_GB2312" w:hAnsi="楷体_GB2312" w:eastAsia="楷体_GB2312" w:cs="楷体_GB2312"/>
          <w:spacing w:val="-15"/>
          <w:sz w:val="30"/>
          <w:szCs w:val="30"/>
          <w:lang w:eastAsia="zh-CN"/>
        </w:rPr>
        <w:t>填报</w:t>
      </w:r>
      <w:r>
        <w:rPr>
          <w:rFonts w:hint="eastAsia" w:ascii="楷体_GB2312" w:hAnsi="楷体_GB2312" w:eastAsia="楷体_GB2312" w:cs="楷体_GB2312"/>
          <w:spacing w:val="-15"/>
          <w:sz w:val="30"/>
          <w:szCs w:val="30"/>
        </w:rPr>
        <w:t xml:space="preserve">单位：(盖章) </w:t>
      </w:r>
      <w:r>
        <w:rPr>
          <w:rFonts w:hint="eastAsia" w:ascii="楷体_GB2312" w:hAnsi="楷体_GB2312" w:eastAsia="楷体_GB2312" w:cs="楷体_GB2312"/>
          <w:spacing w:val="-15"/>
          <w:sz w:val="30"/>
          <w:szCs w:val="30"/>
          <w:lang w:eastAsia="zh-CN"/>
        </w:rPr>
        <w:t xml:space="preserve">                                 </w:t>
      </w:r>
      <w:r>
        <w:rPr>
          <w:rFonts w:hint="eastAsia" w:ascii="楷体_GB2312" w:hAnsi="楷体_GB2312" w:eastAsia="楷体_GB2312" w:cs="楷体_GB2312"/>
          <w:spacing w:val="-15"/>
          <w:sz w:val="30"/>
          <w:szCs w:val="30"/>
        </w:rPr>
        <w:t>联系人和联系方式：</w:t>
      </w:r>
      <w:r>
        <w:rPr>
          <w:rFonts w:hint="eastAsia" w:ascii="楷体_GB2312" w:hAnsi="楷体_GB2312" w:eastAsia="楷体_GB2312" w:cs="楷体_GB2312"/>
          <w:spacing w:val="-15"/>
          <w:sz w:val="30"/>
          <w:szCs w:val="30"/>
          <w:lang w:val="en-US" w:eastAsia="zh-CN"/>
        </w:rPr>
        <w:t>刘卓13787321953</w:t>
      </w:r>
    </w:p>
    <w:tbl>
      <w:tblPr>
        <w:tblStyle w:val="9"/>
        <w:tblW w:w="143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020"/>
        <w:gridCol w:w="8"/>
        <w:gridCol w:w="1012"/>
        <w:gridCol w:w="1020"/>
        <w:gridCol w:w="1020"/>
        <w:gridCol w:w="1020"/>
        <w:gridCol w:w="1020"/>
        <w:gridCol w:w="1304"/>
        <w:gridCol w:w="1304"/>
        <w:gridCol w:w="1020"/>
        <w:gridCol w:w="1303"/>
        <w:gridCol w:w="1"/>
        <w:gridCol w:w="1133"/>
        <w:gridCol w:w="1"/>
        <w:gridCol w:w="1133"/>
        <w:gridCol w:w="1"/>
      </w:tblGrid>
      <w:tr w14:paraId="721A37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003" w:type="dxa"/>
            <w:vMerge w:val="restart"/>
            <w:tcBorders>
              <w:bottom w:val="nil"/>
            </w:tcBorders>
            <w:noWrap w:val="0"/>
            <w:vAlign w:val="center"/>
          </w:tcPr>
          <w:p w14:paraId="3B4BBB13">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rPr>
            </w:pPr>
            <w:r>
              <w:rPr>
                <w:rFonts w:hint="eastAsia" w:ascii="宋体" w:hAnsi="宋体" w:eastAsia="宋体" w:cs="宋体"/>
                <w:spacing w:val="-4"/>
                <w:sz w:val="22"/>
                <w:szCs w:val="22"/>
              </w:rPr>
              <w:t>行政执法</w:t>
            </w:r>
          </w:p>
          <w:p w14:paraId="4732829D">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rPr>
            </w:pPr>
            <w:r>
              <w:rPr>
                <w:rFonts w:hint="eastAsia" w:ascii="宋体" w:hAnsi="宋体" w:eastAsia="宋体" w:cs="宋体"/>
                <w:spacing w:val="-4"/>
                <w:sz w:val="22"/>
                <w:szCs w:val="22"/>
              </w:rPr>
              <w:t>单位</w:t>
            </w:r>
            <w:r>
              <w:rPr>
                <w:rFonts w:hint="eastAsia" w:cs="宋体"/>
                <w:spacing w:val="-4"/>
                <w:sz w:val="22"/>
                <w:szCs w:val="22"/>
                <w:lang w:eastAsia="zh-CN"/>
              </w:rPr>
              <w:t>名</w:t>
            </w:r>
            <w:r>
              <w:rPr>
                <w:rFonts w:hint="eastAsia" w:ascii="宋体" w:hAnsi="宋体" w:eastAsia="宋体" w:cs="宋体"/>
                <w:spacing w:val="-4"/>
                <w:sz w:val="22"/>
                <w:szCs w:val="22"/>
              </w:rPr>
              <w:t>称</w:t>
            </w:r>
          </w:p>
        </w:tc>
        <w:tc>
          <w:tcPr>
            <w:tcW w:w="13320" w:type="dxa"/>
            <w:gridSpan w:val="16"/>
            <w:noWrap w:val="0"/>
            <w:vAlign w:val="center"/>
          </w:tcPr>
          <w:p w14:paraId="55BDC575">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default" w:ascii="宋体" w:hAnsi="宋体" w:eastAsia="宋体" w:cs="宋体"/>
                <w:spacing w:val="1"/>
                <w:sz w:val="22"/>
                <w:szCs w:val="22"/>
                <w:lang w:val="en"/>
              </w:rPr>
            </w:pPr>
            <w:r>
              <w:rPr>
                <w:rFonts w:hint="eastAsia" w:ascii="宋体" w:hAnsi="宋体" w:eastAsia="宋体" w:cs="宋体"/>
                <w:spacing w:val="1"/>
                <w:sz w:val="22"/>
                <w:szCs w:val="22"/>
              </w:rPr>
              <w:t>行政执法行为类别</w:t>
            </w:r>
            <w:r>
              <w:rPr>
                <w:rFonts w:hint="default" w:cs="宋体"/>
                <w:spacing w:val="1"/>
                <w:sz w:val="22"/>
                <w:szCs w:val="22"/>
                <w:lang w:val="en"/>
              </w:rPr>
              <w:t>及项目</w:t>
            </w:r>
          </w:p>
        </w:tc>
      </w:tr>
      <w:tr w14:paraId="452A60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1003" w:type="dxa"/>
            <w:vMerge w:val="continue"/>
            <w:tcBorders>
              <w:top w:val="nil"/>
              <w:bottom w:val="nil"/>
            </w:tcBorders>
            <w:noWrap w:val="0"/>
            <w:vAlign w:val="center"/>
          </w:tcPr>
          <w:p w14:paraId="238D34EF">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rPr>
            </w:pPr>
          </w:p>
        </w:tc>
        <w:tc>
          <w:tcPr>
            <w:tcW w:w="1020" w:type="dxa"/>
            <w:noWrap w:val="0"/>
            <w:vAlign w:val="center"/>
          </w:tcPr>
          <w:p w14:paraId="77DAAD79">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2"/>
                <w:sz w:val="22"/>
                <w:szCs w:val="22"/>
              </w:rPr>
              <w:t>行政许可</w:t>
            </w:r>
          </w:p>
          <w:p w14:paraId="16D986B5">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020" w:type="dxa"/>
            <w:gridSpan w:val="2"/>
            <w:noWrap w:val="0"/>
            <w:vAlign w:val="center"/>
          </w:tcPr>
          <w:p w14:paraId="4EB53ACB">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2"/>
                <w:sz w:val="22"/>
                <w:szCs w:val="22"/>
              </w:rPr>
              <w:t>行政确认</w:t>
            </w:r>
          </w:p>
          <w:p w14:paraId="371D4CF6">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020" w:type="dxa"/>
            <w:noWrap w:val="0"/>
            <w:vAlign w:val="center"/>
          </w:tcPr>
          <w:p w14:paraId="048AF128">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4"/>
                <w:sz w:val="22"/>
                <w:szCs w:val="22"/>
              </w:rPr>
              <w:t>行政强制</w:t>
            </w:r>
          </w:p>
          <w:p w14:paraId="7511FB72">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020" w:type="dxa"/>
            <w:noWrap w:val="0"/>
            <w:vAlign w:val="center"/>
          </w:tcPr>
          <w:p w14:paraId="214E1EB0">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2"/>
                <w:sz w:val="22"/>
                <w:szCs w:val="22"/>
              </w:rPr>
              <w:t>行政裁决</w:t>
            </w:r>
          </w:p>
          <w:p w14:paraId="61DF22CD">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020" w:type="dxa"/>
            <w:noWrap w:val="0"/>
            <w:vAlign w:val="center"/>
          </w:tcPr>
          <w:p w14:paraId="100998FF">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2"/>
                <w:sz w:val="22"/>
                <w:szCs w:val="22"/>
              </w:rPr>
              <w:t>行政检查</w:t>
            </w:r>
          </w:p>
          <w:p w14:paraId="6C8AF744">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(次)</w:t>
            </w:r>
          </w:p>
        </w:tc>
        <w:tc>
          <w:tcPr>
            <w:tcW w:w="1020" w:type="dxa"/>
            <w:noWrap w:val="0"/>
            <w:vAlign w:val="center"/>
          </w:tcPr>
          <w:p w14:paraId="03BDE1C5">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pacing w:val="2"/>
                <w:sz w:val="22"/>
                <w:szCs w:val="22"/>
              </w:rPr>
            </w:pPr>
            <w:r>
              <w:rPr>
                <w:rFonts w:hint="eastAsia" w:ascii="宋体" w:hAnsi="宋体" w:eastAsia="宋体" w:cs="宋体"/>
                <w:spacing w:val="5"/>
                <w:sz w:val="22"/>
                <w:szCs w:val="22"/>
              </w:rPr>
              <w:t>行政处罚</w:t>
            </w:r>
          </w:p>
          <w:p w14:paraId="23AC7BDE">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304" w:type="dxa"/>
            <w:noWrap w:val="0"/>
            <w:vAlign w:val="center"/>
          </w:tcPr>
          <w:p w14:paraId="5B4DA415">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rPr>
            </w:pPr>
            <w:r>
              <w:rPr>
                <w:rFonts w:hint="eastAsia" w:ascii="宋体" w:hAnsi="宋体" w:eastAsia="宋体" w:cs="宋体"/>
                <w:spacing w:val="-4"/>
                <w:sz w:val="22"/>
                <w:szCs w:val="22"/>
              </w:rPr>
              <w:t>投诉举报为线索来源办案数</w:t>
            </w:r>
          </w:p>
          <w:p w14:paraId="7182BA80">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13"/>
                <w:sz w:val="22"/>
                <w:szCs w:val="22"/>
              </w:rPr>
              <w:t>(件)</w:t>
            </w:r>
          </w:p>
        </w:tc>
        <w:tc>
          <w:tcPr>
            <w:tcW w:w="1304" w:type="dxa"/>
            <w:noWrap w:val="0"/>
            <w:vAlign w:val="center"/>
          </w:tcPr>
          <w:p w14:paraId="788D8C1C">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pacing w:val="-4"/>
                <w:sz w:val="22"/>
                <w:szCs w:val="22"/>
              </w:rPr>
            </w:pPr>
            <w:r>
              <w:rPr>
                <w:rFonts w:hint="eastAsia" w:ascii="宋体" w:hAnsi="宋体" w:eastAsia="宋体" w:cs="宋体"/>
                <w:spacing w:val="-4"/>
                <w:sz w:val="22"/>
                <w:szCs w:val="22"/>
              </w:rPr>
              <w:t>重大执法决定</w:t>
            </w:r>
            <w:r>
              <w:rPr>
                <w:rFonts w:hint="eastAsia" w:ascii="宋体" w:hAnsi="宋体" w:eastAsia="宋体" w:cs="宋体"/>
                <w:spacing w:val="-2"/>
                <w:sz w:val="22"/>
                <w:szCs w:val="22"/>
              </w:rPr>
              <w:t>法制审核案件</w:t>
            </w:r>
            <w:r>
              <w:rPr>
                <w:rFonts w:hint="eastAsia" w:ascii="宋体" w:hAnsi="宋体" w:eastAsia="宋体" w:cs="宋体"/>
                <w:spacing w:val="13"/>
                <w:sz w:val="22"/>
                <w:szCs w:val="22"/>
              </w:rPr>
              <w:t>(件)</w:t>
            </w:r>
          </w:p>
        </w:tc>
        <w:tc>
          <w:tcPr>
            <w:tcW w:w="1020" w:type="dxa"/>
            <w:noWrap w:val="0"/>
            <w:vAlign w:val="center"/>
          </w:tcPr>
          <w:p w14:paraId="1E7C34D1">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罚没金额</w:t>
            </w:r>
          </w:p>
          <w:p w14:paraId="097ED013">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（元）</w:t>
            </w:r>
          </w:p>
        </w:tc>
        <w:tc>
          <w:tcPr>
            <w:tcW w:w="1304" w:type="dxa"/>
            <w:gridSpan w:val="2"/>
            <w:noWrap w:val="0"/>
            <w:vAlign w:val="center"/>
          </w:tcPr>
          <w:p w14:paraId="201188F8">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ascii="宋体" w:hAnsi="宋体" w:eastAsia="宋体" w:cs="宋体"/>
                <w:sz w:val="22"/>
                <w:szCs w:val="22"/>
              </w:rPr>
            </w:pPr>
            <w:r>
              <w:rPr>
                <w:rFonts w:hint="eastAsia" w:ascii="宋体" w:hAnsi="宋体" w:eastAsia="宋体" w:cs="宋体"/>
                <w:spacing w:val="-4"/>
                <w:sz w:val="22"/>
                <w:szCs w:val="22"/>
              </w:rPr>
              <w:t>移送司法机关刑事案件件数</w:t>
            </w:r>
          </w:p>
        </w:tc>
        <w:tc>
          <w:tcPr>
            <w:tcW w:w="1134" w:type="dxa"/>
            <w:gridSpan w:val="2"/>
            <w:noWrap w:val="0"/>
            <w:vAlign w:val="center"/>
          </w:tcPr>
          <w:p w14:paraId="64AE536F">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lang w:eastAsia="zh-CN"/>
              </w:rPr>
            </w:pPr>
            <w:r>
              <w:rPr>
                <w:rFonts w:hint="eastAsia" w:cs="宋体"/>
                <w:spacing w:val="-4"/>
                <w:sz w:val="22"/>
                <w:szCs w:val="22"/>
                <w:lang w:eastAsia="zh-CN"/>
              </w:rPr>
              <w:t>行政复议案件数（件）</w:t>
            </w:r>
          </w:p>
        </w:tc>
        <w:tc>
          <w:tcPr>
            <w:tcW w:w="1134" w:type="dxa"/>
            <w:gridSpan w:val="2"/>
            <w:noWrap w:val="0"/>
            <w:vAlign w:val="center"/>
          </w:tcPr>
          <w:p w14:paraId="03BC7EE4">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行政诉讼案件数（件）</w:t>
            </w:r>
          </w:p>
        </w:tc>
      </w:tr>
      <w:tr w14:paraId="43850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907" w:hRule="atLeast"/>
          <w:jc w:val="center"/>
        </w:trPr>
        <w:tc>
          <w:tcPr>
            <w:tcW w:w="1003" w:type="dxa"/>
            <w:noWrap w:val="0"/>
            <w:vAlign w:val="center"/>
          </w:tcPr>
          <w:p w14:paraId="7E11B9A0">
            <w:pPr>
              <w:pStyle w:val="8"/>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pacing w:val="-4"/>
                <w:sz w:val="22"/>
                <w:szCs w:val="22"/>
              </w:rPr>
            </w:pPr>
          </w:p>
        </w:tc>
        <w:tc>
          <w:tcPr>
            <w:tcW w:w="1028" w:type="dxa"/>
            <w:gridSpan w:val="2"/>
            <w:noWrap w:val="0"/>
            <w:vAlign w:val="center"/>
          </w:tcPr>
          <w:p w14:paraId="7043A5A8">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default" w:ascii="宋体" w:hAnsi="宋体" w:eastAsia="宋体" w:cs="宋体"/>
                <w:sz w:val="22"/>
                <w:szCs w:val="22"/>
                <w:lang w:val="en-US" w:eastAsia="zh-CN"/>
              </w:rPr>
            </w:pPr>
            <w:r>
              <w:rPr>
                <w:rFonts w:hint="eastAsia" w:ascii="宋体" w:hAnsi="宋体" w:cs="宋体"/>
                <w:sz w:val="22"/>
                <w:szCs w:val="22"/>
                <w:lang w:val="en-US" w:eastAsia="zh-CN"/>
              </w:rPr>
              <w:t>110</w:t>
            </w:r>
          </w:p>
        </w:tc>
        <w:tc>
          <w:tcPr>
            <w:tcW w:w="1012" w:type="dxa"/>
            <w:noWrap w:val="0"/>
            <w:vAlign w:val="center"/>
          </w:tcPr>
          <w:p w14:paraId="1243724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020" w:type="dxa"/>
            <w:noWrap w:val="0"/>
            <w:vAlign w:val="center"/>
          </w:tcPr>
          <w:p w14:paraId="6786F9A7">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020" w:type="dxa"/>
            <w:noWrap w:val="0"/>
            <w:vAlign w:val="center"/>
          </w:tcPr>
          <w:p w14:paraId="3803EEC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020" w:type="dxa"/>
            <w:noWrap w:val="0"/>
            <w:vAlign w:val="center"/>
          </w:tcPr>
          <w:p w14:paraId="72691DC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8</w:t>
            </w:r>
          </w:p>
        </w:tc>
        <w:tc>
          <w:tcPr>
            <w:tcW w:w="1020" w:type="dxa"/>
            <w:noWrap w:val="0"/>
            <w:vAlign w:val="center"/>
          </w:tcPr>
          <w:p w14:paraId="32F47F4E">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default" w:ascii="宋体" w:hAnsi="宋体" w:eastAsia="宋体" w:cs="宋体"/>
                <w:sz w:val="22"/>
                <w:szCs w:val="22"/>
                <w:lang w:val="en-US" w:eastAsia="zh-CN"/>
              </w:rPr>
            </w:pPr>
            <w:r>
              <w:rPr>
                <w:rFonts w:hint="eastAsia" w:ascii="宋体" w:hAnsi="宋体" w:cs="宋体"/>
                <w:sz w:val="22"/>
                <w:szCs w:val="22"/>
                <w:lang w:val="en-US" w:eastAsia="zh-CN"/>
              </w:rPr>
              <w:t>14</w:t>
            </w:r>
          </w:p>
        </w:tc>
        <w:tc>
          <w:tcPr>
            <w:tcW w:w="1304" w:type="dxa"/>
            <w:noWrap w:val="0"/>
            <w:vAlign w:val="center"/>
          </w:tcPr>
          <w:p w14:paraId="42C5AB92">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4</w:t>
            </w:r>
          </w:p>
        </w:tc>
        <w:tc>
          <w:tcPr>
            <w:tcW w:w="1304" w:type="dxa"/>
            <w:noWrap w:val="0"/>
            <w:vAlign w:val="center"/>
          </w:tcPr>
          <w:p w14:paraId="3AB0377A">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020" w:type="dxa"/>
            <w:noWrap w:val="0"/>
            <w:vAlign w:val="center"/>
          </w:tcPr>
          <w:p w14:paraId="290AC77C">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default" w:ascii="宋体" w:hAnsi="宋体" w:eastAsia="宋体" w:cs="宋体"/>
                <w:sz w:val="22"/>
                <w:szCs w:val="22"/>
                <w:lang w:val="en-US" w:eastAsia="zh-CN"/>
              </w:rPr>
            </w:pPr>
            <w:r>
              <w:rPr>
                <w:rFonts w:hint="eastAsia" w:ascii="宋体" w:hAnsi="宋体" w:cs="宋体"/>
                <w:sz w:val="22"/>
                <w:szCs w:val="22"/>
                <w:lang w:val="en-US" w:eastAsia="zh-CN"/>
              </w:rPr>
              <w:t>61808</w:t>
            </w:r>
          </w:p>
        </w:tc>
        <w:tc>
          <w:tcPr>
            <w:tcW w:w="1303" w:type="dxa"/>
            <w:noWrap w:val="0"/>
            <w:vAlign w:val="center"/>
          </w:tcPr>
          <w:p w14:paraId="254E6DC5">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34" w:type="dxa"/>
            <w:gridSpan w:val="2"/>
            <w:noWrap w:val="0"/>
            <w:vAlign w:val="center"/>
          </w:tcPr>
          <w:p w14:paraId="599B99D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1</w:t>
            </w:r>
          </w:p>
        </w:tc>
        <w:tc>
          <w:tcPr>
            <w:tcW w:w="1134" w:type="dxa"/>
            <w:gridSpan w:val="2"/>
            <w:noWrap w:val="0"/>
            <w:vAlign w:val="center"/>
          </w:tcPr>
          <w:p w14:paraId="1010026A">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r>
    </w:tbl>
    <w:p w14:paraId="5F72BF13">
      <w:pPr>
        <w:pStyle w:val="2"/>
        <w:rPr>
          <w:rFonts w:hint="eastAsia" w:ascii="仿宋_GB2312" w:hAnsi="仿宋_GB2312" w:eastAsia="仿宋_GB2312" w:cs="仿宋_GB2312"/>
          <w:spacing w:val="1"/>
          <w:position w:val="4"/>
          <w:sz w:val="24"/>
          <w:szCs w:val="24"/>
        </w:rPr>
      </w:pPr>
    </w:p>
    <w:p w14:paraId="1AF99786">
      <w:pPr>
        <w:pStyle w:val="2"/>
        <w:rPr>
          <w:rFonts w:ascii="仿宋_GB2312" w:hAnsi="仿宋_GB2312" w:eastAsia="仿宋_GB2312" w:cs="仿宋_GB2312"/>
          <w:sz w:val="24"/>
          <w:szCs w:val="24"/>
        </w:rPr>
      </w:pPr>
      <w:r>
        <w:rPr>
          <w:rFonts w:hint="eastAsia" w:ascii="仿宋_GB2312" w:hAnsi="仿宋_GB2312" w:eastAsia="仿宋_GB2312" w:cs="仿宋_GB2312"/>
          <w:spacing w:val="1"/>
          <w:position w:val="4"/>
          <w:sz w:val="24"/>
          <w:szCs w:val="24"/>
        </w:rPr>
        <w:t>填表说明：1.各单位汇总的执法案件数据必须是当</w:t>
      </w:r>
      <w:r>
        <w:rPr>
          <w:rFonts w:hint="eastAsia" w:ascii="仿宋_GB2312" w:hAnsi="仿宋_GB2312" w:eastAsia="仿宋_GB2312" w:cs="仿宋_GB2312"/>
          <w:position w:val="4"/>
          <w:sz w:val="24"/>
          <w:szCs w:val="24"/>
        </w:rPr>
        <w:t>年已办结的案件数据。</w:t>
      </w:r>
    </w:p>
    <w:p w14:paraId="47522816">
      <w:pPr>
        <w:pStyle w:val="2"/>
        <w:ind w:firstLine="1210" w:firstLineChars="500"/>
        <w:rPr>
          <w:rFonts w:ascii="仿宋_GB2312" w:hAnsi="仿宋_GB2312" w:eastAsia="仿宋_GB2312" w:cs="仿宋_GB2312"/>
          <w:sz w:val="24"/>
          <w:szCs w:val="24"/>
        </w:rPr>
      </w:pPr>
      <w:r>
        <w:rPr>
          <w:rFonts w:hint="eastAsia" w:ascii="仿宋_GB2312" w:hAnsi="仿宋_GB2312" w:eastAsia="仿宋_GB2312" w:cs="仿宋_GB2312"/>
          <w:spacing w:val="1"/>
          <w:sz w:val="24"/>
          <w:szCs w:val="24"/>
        </w:rPr>
        <w:t>2.委托执法的有关数据由委托机关汇总报告、公开。</w:t>
      </w:r>
    </w:p>
    <w:p w14:paraId="3C724A30">
      <w:pPr>
        <w:pStyle w:val="2"/>
        <w:ind w:firstLine="1210" w:firstLineChars="500"/>
        <w:rPr>
          <w:rFonts w:hint="eastAsia" w:ascii="仿宋_GB2312" w:hAnsi="仿宋_GB2312" w:eastAsia="仿宋_GB2312" w:cs="仿宋_GB2312"/>
          <w:spacing w:val="1"/>
          <w:sz w:val="24"/>
          <w:szCs w:val="24"/>
        </w:rPr>
      </w:pPr>
      <w:r>
        <w:rPr>
          <w:rFonts w:hint="eastAsia" w:ascii="仿宋_GB2312" w:hAnsi="仿宋_GB2312" w:eastAsia="仿宋_GB2312" w:cs="仿宋_GB2312"/>
          <w:spacing w:val="1"/>
          <w:sz w:val="24"/>
          <w:szCs w:val="24"/>
        </w:rPr>
        <w:t>3.本表汇总数据为</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年1月1日至</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年12月31日止。</w:t>
      </w:r>
    </w:p>
    <w:p w14:paraId="0C55A513">
      <w:pPr>
        <w:pStyle w:val="2"/>
        <w:ind w:firstLine="1210" w:firstLineChars="500"/>
        <w:rPr>
          <w:rFonts w:hint="eastAsia" w:ascii="仿宋_GB2312" w:hAnsi="仿宋_GB2312" w:eastAsia="仿宋_GB2312" w:cs="仿宋_GB2312"/>
          <w:spacing w:val="1"/>
          <w:sz w:val="24"/>
          <w:szCs w:val="24"/>
          <w:lang w:eastAsia="zh-CN"/>
        </w:rPr>
      </w:pPr>
      <w:r>
        <w:rPr>
          <w:rFonts w:hint="eastAsia" w:ascii="仿宋_GB2312" w:hAnsi="仿宋_GB2312" w:eastAsia="仿宋_GB2312" w:cs="仿宋_GB2312"/>
          <w:spacing w:val="1"/>
          <w:sz w:val="24"/>
          <w:szCs w:val="24"/>
          <w:lang w:val="en-US" w:eastAsia="zh-CN"/>
        </w:rPr>
        <w:t>4.</w:t>
      </w:r>
      <w:r>
        <w:rPr>
          <w:rFonts w:hint="eastAsia" w:ascii="仿宋_GB2312" w:hAnsi="仿宋_GB2312" w:eastAsia="仿宋_GB2312" w:cs="仿宋_GB2312"/>
          <w:spacing w:val="1"/>
          <w:sz w:val="24"/>
          <w:szCs w:val="24"/>
          <w:lang w:eastAsia="zh-CN"/>
        </w:rPr>
        <w:t>县市区数据含乡镇（街道）执法数据，但注意不要与委托执法部门重复统计。</w:t>
      </w:r>
    </w:p>
    <w:p w14:paraId="2248E1AF">
      <w:pPr>
        <w:pStyle w:val="2"/>
        <w:keepNext w:val="0"/>
        <w:keepLines w:val="0"/>
        <w:pageBreakBefore w:val="0"/>
        <w:widowControl w:val="0"/>
        <w:kinsoku/>
        <w:wordWrap/>
        <w:overflowPunct/>
        <w:topLinePunct w:val="0"/>
        <w:autoSpaceDE/>
        <w:autoSpaceDN/>
        <w:bidi w:val="0"/>
        <w:adjustRightInd/>
        <w:snapToGrid/>
        <w:spacing w:line="600" w:lineRule="exact"/>
        <w:ind w:firstLine="1210" w:firstLineChars="500"/>
        <w:textAlignment w:val="auto"/>
        <w:rPr>
          <w:rFonts w:hint="eastAsia" w:eastAsia="黑体"/>
          <w:sz w:val="32"/>
          <w:szCs w:val="32"/>
          <w:lang w:val="en-US" w:eastAsia="zh-CN"/>
        </w:rPr>
      </w:pPr>
      <w:r>
        <w:rPr>
          <w:rFonts w:hint="eastAsia" w:ascii="仿宋_GB2312" w:hAnsi="仿宋_GB2312" w:eastAsia="仿宋_GB2312" w:cs="仿宋_GB2312"/>
          <w:spacing w:val="1"/>
          <w:sz w:val="24"/>
          <w:szCs w:val="24"/>
          <w:lang w:val="en-US" w:eastAsia="zh-CN"/>
        </w:rPr>
        <w:t>5.行政复议案件数与行政诉讼案件数统计口径为前述6项行政执法行为引起并在本年度内立案的复议、诉讼案件数。</w:t>
      </w:r>
      <w:r>
        <w:rPr>
          <w:rFonts w:hint="eastAsia" w:ascii="黑体" w:hAnsi="黑体" w:eastAsia="黑体" w:cs="黑体"/>
          <w:b w:val="0"/>
          <w:bCs w:val="0"/>
          <w:spacing w:val="-11"/>
          <w:sz w:val="32"/>
          <w:szCs w:val="32"/>
        </w:rPr>
        <w:br w:type="page"/>
      </w:r>
      <w:r>
        <w:rPr>
          <w:rFonts w:hint="eastAsia" w:ascii="黑体" w:hAnsi="黑体" w:eastAsia="黑体" w:cs="黑体"/>
          <w:b w:val="0"/>
          <w:bCs w:val="0"/>
          <w:spacing w:val="-11"/>
          <w:sz w:val="32"/>
          <w:szCs w:val="32"/>
        </w:rPr>
        <w:t>附件</w:t>
      </w:r>
      <w:r>
        <w:rPr>
          <w:rFonts w:hint="eastAsia" w:ascii="黑体" w:hAnsi="黑体" w:eastAsia="黑体" w:cs="黑体"/>
          <w:b w:val="0"/>
          <w:bCs w:val="0"/>
          <w:spacing w:val="-11"/>
          <w:sz w:val="32"/>
          <w:szCs w:val="32"/>
          <w:lang w:val="en-US" w:eastAsia="zh-CN"/>
        </w:rPr>
        <w:t>2</w:t>
      </w:r>
    </w:p>
    <w:p w14:paraId="0F70227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楷体_GB2312" w:hAnsi="楷体_GB2312" w:eastAsia="楷体_GB2312" w:cs="楷体_GB2312"/>
          <w:spacing w:val="-15"/>
          <w:sz w:val="30"/>
          <w:szCs w:val="30"/>
        </w:rPr>
      </w:pPr>
      <w:r>
        <w:rPr>
          <w:rFonts w:hint="eastAsia" w:ascii="方正小标宋简体" w:hAnsi="方正小标宋简体" w:eastAsia="方正小标宋简体" w:cs="方正小标宋简体"/>
          <w:spacing w:val="-4"/>
          <w:sz w:val="44"/>
          <w:szCs w:val="44"/>
        </w:rPr>
        <w:t>202</w:t>
      </w:r>
      <w:r>
        <w:rPr>
          <w:rFonts w:hint="eastAsia" w:ascii="方正小标宋简体" w:hAnsi="方正小标宋简体" w:eastAsia="方正小标宋简体" w:cs="方正小标宋简体"/>
          <w:spacing w:val="-4"/>
          <w:sz w:val="44"/>
          <w:szCs w:val="44"/>
          <w:lang w:val="en-US" w:eastAsia="zh-CN"/>
        </w:rPr>
        <w:t>5</w:t>
      </w:r>
      <w:r>
        <w:rPr>
          <w:rFonts w:hint="eastAsia" w:ascii="方正小标宋简体" w:hAnsi="方正小标宋简体" w:eastAsia="方正小标宋简体" w:cs="方正小标宋简体"/>
          <w:spacing w:val="-4"/>
          <w:sz w:val="44"/>
          <w:szCs w:val="44"/>
        </w:rPr>
        <w:t>年</w:t>
      </w:r>
      <w:r>
        <w:rPr>
          <w:rFonts w:hint="eastAsia" w:ascii="方正小标宋简体" w:hAnsi="方正小标宋简体" w:eastAsia="方正小标宋简体" w:cs="方正小标宋简体"/>
          <w:spacing w:val="-4"/>
          <w:sz w:val="44"/>
          <w:szCs w:val="44"/>
          <w:lang w:eastAsia="zh-CN"/>
        </w:rPr>
        <w:t>涉企</w:t>
      </w:r>
      <w:r>
        <w:rPr>
          <w:rFonts w:hint="eastAsia" w:ascii="方正小标宋简体" w:hAnsi="方正小标宋简体" w:eastAsia="方正小标宋简体" w:cs="方正小标宋简体"/>
          <w:spacing w:val="-4"/>
          <w:sz w:val="44"/>
          <w:szCs w:val="44"/>
        </w:rPr>
        <w:t>行政执法数据情况统计表</w:t>
      </w:r>
    </w:p>
    <w:p w14:paraId="227D2453">
      <w:pPr>
        <w:keepNext w:val="0"/>
        <w:keepLines w:val="0"/>
        <w:pageBreakBefore w:val="0"/>
        <w:widowControl w:val="0"/>
        <w:kinsoku/>
        <w:wordWrap/>
        <w:overflowPunct/>
        <w:topLinePunct w:val="0"/>
        <w:autoSpaceDE/>
        <w:autoSpaceDN/>
        <w:bidi w:val="0"/>
        <w:adjustRightInd/>
        <w:snapToGrid/>
        <w:spacing w:line="440" w:lineRule="exact"/>
        <w:ind w:firstLine="270" w:firstLineChars="100"/>
        <w:textAlignment w:val="auto"/>
        <w:rPr>
          <w:rFonts w:hint="eastAsia" w:ascii="楷体_GB2312" w:hAnsi="楷体_GB2312" w:eastAsia="楷体_GB2312" w:cs="楷体_GB2312"/>
          <w:spacing w:val="-15"/>
          <w:sz w:val="30"/>
          <w:szCs w:val="30"/>
          <w:lang w:eastAsia="zh-CN"/>
        </w:rPr>
      </w:pPr>
    </w:p>
    <w:p w14:paraId="33A0D202">
      <w:pPr>
        <w:keepNext w:val="0"/>
        <w:keepLines w:val="0"/>
        <w:pageBreakBefore w:val="0"/>
        <w:widowControl w:val="0"/>
        <w:kinsoku/>
        <w:wordWrap/>
        <w:overflowPunct/>
        <w:topLinePunct w:val="0"/>
        <w:autoSpaceDE/>
        <w:autoSpaceDN/>
        <w:bidi w:val="0"/>
        <w:adjustRightInd/>
        <w:snapToGrid/>
        <w:spacing w:line="440" w:lineRule="exact"/>
        <w:ind w:firstLine="270" w:firstLineChars="100"/>
        <w:textAlignment w:val="auto"/>
      </w:pPr>
      <w:r>
        <w:rPr>
          <w:rFonts w:hint="eastAsia" w:ascii="楷体_GB2312" w:hAnsi="楷体_GB2312" w:eastAsia="楷体_GB2312" w:cs="楷体_GB2312"/>
          <w:spacing w:val="-15"/>
          <w:sz w:val="30"/>
          <w:szCs w:val="30"/>
          <w:lang w:eastAsia="zh-CN"/>
        </w:rPr>
        <w:t>填报</w:t>
      </w:r>
      <w:r>
        <w:rPr>
          <w:rFonts w:hint="eastAsia" w:ascii="楷体_GB2312" w:hAnsi="楷体_GB2312" w:eastAsia="楷体_GB2312" w:cs="楷体_GB2312"/>
          <w:spacing w:val="-15"/>
          <w:sz w:val="30"/>
          <w:szCs w:val="30"/>
        </w:rPr>
        <w:t xml:space="preserve">单位：(盖章) </w:t>
      </w:r>
      <w:r>
        <w:rPr>
          <w:rFonts w:hint="eastAsia" w:ascii="楷体_GB2312" w:hAnsi="楷体_GB2312" w:eastAsia="楷体_GB2312" w:cs="楷体_GB2312"/>
          <w:spacing w:val="-15"/>
          <w:sz w:val="30"/>
          <w:szCs w:val="30"/>
          <w:lang w:eastAsia="zh-CN"/>
        </w:rPr>
        <w:t xml:space="preserve">                                 </w:t>
      </w:r>
      <w:r>
        <w:rPr>
          <w:rFonts w:hint="eastAsia" w:ascii="楷体_GB2312" w:hAnsi="楷体_GB2312" w:eastAsia="楷体_GB2312" w:cs="楷体_GB2312"/>
          <w:spacing w:val="-15"/>
          <w:sz w:val="30"/>
          <w:szCs w:val="30"/>
        </w:rPr>
        <w:t>联系人和联系方式：</w:t>
      </w:r>
      <w:r>
        <w:rPr>
          <w:rFonts w:hint="eastAsia" w:ascii="楷体_GB2312" w:hAnsi="楷体_GB2312" w:eastAsia="楷体_GB2312" w:cs="楷体_GB2312"/>
          <w:spacing w:val="-15"/>
          <w:sz w:val="30"/>
          <w:szCs w:val="30"/>
          <w:lang w:val="en-US" w:eastAsia="zh-CN"/>
        </w:rPr>
        <w:t>刘卓13787321953</w:t>
      </w:r>
    </w:p>
    <w:tbl>
      <w:tblPr>
        <w:tblStyle w:val="9"/>
        <w:tblW w:w="151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106"/>
        <w:gridCol w:w="1106"/>
        <w:gridCol w:w="1106"/>
        <w:gridCol w:w="1348"/>
        <w:gridCol w:w="950"/>
        <w:gridCol w:w="1048"/>
        <w:gridCol w:w="1106"/>
        <w:gridCol w:w="1196"/>
        <w:gridCol w:w="1016"/>
        <w:gridCol w:w="1106"/>
        <w:gridCol w:w="1106"/>
        <w:gridCol w:w="1106"/>
        <w:gridCol w:w="1106"/>
      </w:tblGrid>
      <w:tr w14:paraId="6323A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23" w:type="dxa"/>
            <w:vMerge w:val="restart"/>
            <w:tcBorders>
              <w:bottom w:val="nil"/>
            </w:tcBorders>
            <w:noWrap w:val="0"/>
            <w:vAlign w:val="center"/>
          </w:tcPr>
          <w:p w14:paraId="7A020055">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r>
              <w:rPr>
                <w:rFonts w:hint="eastAsia" w:ascii="宋体" w:hAnsi="宋体" w:eastAsia="宋体" w:cs="宋体"/>
                <w:spacing w:val="-4"/>
                <w:sz w:val="22"/>
                <w:szCs w:val="22"/>
              </w:rPr>
              <w:t>行政执</w:t>
            </w:r>
            <w:r>
              <w:rPr>
                <w:rFonts w:hint="eastAsia" w:ascii="宋体" w:hAnsi="宋体" w:eastAsia="宋体" w:cs="宋体"/>
                <w:spacing w:val="-3"/>
                <w:sz w:val="22"/>
                <w:szCs w:val="22"/>
              </w:rPr>
              <w:t>法单位</w:t>
            </w:r>
            <w:r>
              <w:rPr>
                <w:rFonts w:hint="eastAsia" w:ascii="宋体" w:hAnsi="宋体" w:eastAsia="宋体" w:cs="宋体"/>
                <w:spacing w:val="40"/>
                <w:sz w:val="22"/>
                <w:szCs w:val="22"/>
              </w:rPr>
              <w:t>名称</w:t>
            </w:r>
          </w:p>
        </w:tc>
        <w:tc>
          <w:tcPr>
            <w:tcW w:w="14406" w:type="dxa"/>
            <w:gridSpan w:val="13"/>
            <w:noWrap w:val="0"/>
            <w:vAlign w:val="center"/>
          </w:tcPr>
          <w:p w14:paraId="4C1D3A5F">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pacing w:val="1"/>
                <w:sz w:val="22"/>
                <w:szCs w:val="22"/>
              </w:rPr>
            </w:pPr>
            <w:r>
              <w:rPr>
                <w:rFonts w:hint="eastAsia" w:ascii="宋体" w:hAnsi="宋体" w:eastAsia="宋体" w:cs="宋体"/>
                <w:spacing w:val="1"/>
                <w:sz w:val="22"/>
                <w:szCs w:val="22"/>
              </w:rPr>
              <w:t>行政执法行为类别</w:t>
            </w:r>
          </w:p>
        </w:tc>
      </w:tr>
      <w:tr w14:paraId="13020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723" w:type="dxa"/>
            <w:vMerge w:val="continue"/>
            <w:tcBorders>
              <w:top w:val="nil"/>
              <w:bottom w:val="nil"/>
            </w:tcBorders>
            <w:noWrap w:val="0"/>
            <w:vAlign w:val="center"/>
          </w:tcPr>
          <w:p w14:paraId="492F5310">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p>
        </w:tc>
        <w:tc>
          <w:tcPr>
            <w:tcW w:w="1106" w:type="dxa"/>
            <w:noWrap w:val="0"/>
            <w:vAlign w:val="center"/>
          </w:tcPr>
          <w:p w14:paraId="5B61ECF7">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2"/>
                <w:sz w:val="22"/>
                <w:szCs w:val="22"/>
                <w:lang w:eastAsia="zh-CN"/>
              </w:rPr>
            </w:pPr>
            <w:r>
              <w:rPr>
                <w:rFonts w:hint="eastAsia" w:cs="宋体"/>
                <w:spacing w:val="-2"/>
                <w:sz w:val="22"/>
                <w:szCs w:val="22"/>
                <w:lang w:eastAsia="zh-CN"/>
              </w:rPr>
              <w:t>涉企行政</w:t>
            </w:r>
          </w:p>
          <w:p w14:paraId="59407B58">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r>
              <w:rPr>
                <w:rFonts w:hint="eastAsia" w:cs="宋体"/>
                <w:spacing w:val="-2"/>
                <w:sz w:val="22"/>
                <w:szCs w:val="22"/>
                <w:lang w:eastAsia="zh-CN"/>
              </w:rPr>
              <w:t>处罚</w:t>
            </w:r>
            <w:r>
              <w:rPr>
                <w:rFonts w:hint="eastAsia" w:ascii="宋体" w:hAnsi="宋体" w:eastAsia="宋体" w:cs="宋体"/>
                <w:spacing w:val="13"/>
                <w:sz w:val="22"/>
                <w:szCs w:val="22"/>
              </w:rPr>
              <w:t>(件)</w:t>
            </w:r>
          </w:p>
        </w:tc>
        <w:tc>
          <w:tcPr>
            <w:tcW w:w="1106" w:type="dxa"/>
            <w:noWrap w:val="0"/>
            <w:vAlign w:val="center"/>
          </w:tcPr>
          <w:p w14:paraId="05994160">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pacing w:val="4"/>
                <w:sz w:val="22"/>
                <w:szCs w:val="22"/>
              </w:rPr>
            </w:pPr>
            <w:r>
              <w:rPr>
                <w:rFonts w:hint="eastAsia" w:cs="宋体"/>
                <w:spacing w:val="4"/>
                <w:sz w:val="22"/>
                <w:szCs w:val="22"/>
                <w:lang w:eastAsia="zh-CN"/>
              </w:rPr>
              <w:t>涉企</w:t>
            </w:r>
            <w:r>
              <w:rPr>
                <w:rFonts w:hint="eastAsia" w:ascii="宋体" w:hAnsi="宋体" w:eastAsia="宋体" w:cs="宋体"/>
                <w:spacing w:val="4"/>
                <w:sz w:val="22"/>
                <w:szCs w:val="22"/>
              </w:rPr>
              <w:t>行政</w:t>
            </w:r>
          </w:p>
          <w:p w14:paraId="5F5E2866">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r>
              <w:rPr>
                <w:rFonts w:hint="eastAsia" w:ascii="宋体" w:hAnsi="宋体" w:eastAsia="宋体" w:cs="宋体"/>
                <w:spacing w:val="4"/>
                <w:sz w:val="22"/>
                <w:szCs w:val="22"/>
              </w:rPr>
              <w:t>强制</w:t>
            </w:r>
            <w:r>
              <w:rPr>
                <w:rFonts w:hint="eastAsia" w:ascii="宋体" w:hAnsi="宋体" w:eastAsia="宋体" w:cs="宋体"/>
                <w:spacing w:val="13"/>
                <w:sz w:val="22"/>
                <w:szCs w:val="22"/>
              </w:rPr>
              <w:t>(件)</w:t>
            </w:r>
          </w:p>
        </w:tc>
        <w:tc>
          <w:tcPr>
            <w:tcW w:w="1106" w:type="dxa"/>
            <w:noWrap w:val="0"/>
            <w:vAlign w:val="center"/>
          </w:tcPr>
          <w:p w14:paraId="0261AE4F">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pacing w:val="2"/>
                <w:sz w:val="22"/>
                <w:szCs w:val="22"/>
              </w:rPr>
            </w:pPr>
            <w:r>
              <w:rPr>
                <w:rFonts w:hint="eastAsia" w:cs="宋体"/>
                <w:spacing w:val="2"/>
                <w:sz w:val="22"/>
                <w:szCs w:val="22"/>
                <w:lang w:eastAsia="zh-CN"/>
              </w:rPr>
              <w:t>涉企</w:t>
            </w:r>
            <w:r>
              <w:rPr>
                <w:rFonts w:hint="eastAsia" w:ascii="宋体" w:hAnsi="宋体" w:eastAsia="宋体" w:cs="宋体"/>
                <w:spacing w:val="2"/>
                <w:sz w:val="22"/>
                <w:szCs w:val="22"/>
              </w:rPr>
              <w:t>行政</w:t>
            </w:r>
          </w:p>
          <w:p w14:paraId="59B86344">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r>
              <w:rPr>
                <w:rFonts w:hint="eastAsia" w:ascii="宋体" w:hAnsi="宋体" w:eastAsia="宋体" w:cs="宋体"/>
                <w:spacing w:val="2"/>
                <w:sz w:val="22"/>
                <w:szCs w:val="22"/>
              </w:rPr>
              <w:t>检查</w:t>
            </w:r>
            <w:r>
              <w:rPr>
                <w:rFonts w:hint="eastAsia" w:ascii="宋体" w:hAnsi="宋体" w:eastAsia="宋体" w:cs="宋体"/>
                <w:spacing w:val="13"/>
                <w:sz w:val="22"/>
                <w:szCs w:val="22"/>
              </w:rPr>
              <w:t>(次)</w:t>
            </w:r>
          </w:p>
        </w:tc>
        <w:tc>
          <w:tcPr>
            <w:tcW w:w="1348" w:type="dxa"/>
            <w:noWrap w:val="0"/>
            <w:vAlign w:val="center"/>
          </w:tcPr>
          <w:p w14:paraId="77F38F40">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both"/>
              <w:textAlignment w:val="baseline"/>
              <w:outlineLvl w:val="9"/>
              <w:rPr>
                <w:rFonts w:hint="eastAsia" w:cs="宋体"/>
                <w:spacing w:val="5"/>
                <w:sz w:val="22"/>
                <w:szCs w:val="22"/>
                <w:lang w:val="en-US" w:eastAsia="zh-CN"/>
              </w:rPr>
            </w:pPr>
            <w:r>
              <w:rPr>
                <w:rFonts w:hint="eastAsia" w:cs="宋体"/>
                <w:spacing w:val="5"/>
                <w:sz w:val="22"/>
                <w:szCs w:val="22"/>
                <w:lang w:val="en-US" w:eastAsia="zh-CN"/>
              </w:rPr>
              <w:t>跨部门联合涉企行政检查（次）</w:t>
            </w:r>
          </w:p>
        </w:tc>
        <w:tc>
          <w:tcPr>
            <w:tcW w:w="950" w:type="dxa"/>
            <w:noWrap w:val="0"/>
            <w:vAlign w:val="center"/>
          </w:tcPr>
          <w:p w14:paraId="0AA8DE23">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both"/>
              <w:textAlignment w:val="baseline"/>
              <w:outlineLvl w:val="9"/>
              <w:rPr>
                <w:rFonts w:hint="default" w:cs="宋体"/>
                <w:spacing w:val="5"/>
                <w:sz w:val="22"/>
                <w:szCs w:val="22"/>
                <w:lang w:val="en-US" w:eastAsia="zh-CN"/>
              </w:rPr>
            </w:pPr>
            <w:r>
              <w:rPr>
                <w:rFonts w:hint="eastAsia" w:cs="宋体"/>
                <w:spacing w:val="5"/>
                <w:sz w:val="22"/>
                <w:szCs w:val="22"/>
                <w:lang w:val="en-US" w:eastAsia="zh-CN"/>
              </w:rPr>
              <w:t>扫码入企（次）</w:t>
            </w:r>
          </w:p>
        </w:tc>
        <w:tc>
          <w:tcPr>
            <w:tcW w:w="1048" w:type="dxa"/>
            <w:noWrap w:val="0"/>
            <w:vAlign w:val="center"/>
          </w:tcPr>
          <w:p w14:paraId="34E57A4F">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5"/>
                <w:sz w:val="22"/>
                <w:szCs w:val="22"/>
                <w:lang w:eastAsia="zh-CN"/>
              </w:rPr>
            </w:pPr>
            <w:r>
              <w:rPr>
                <w:rFonts w:hint="eastAsia" w:cs="宋体"/>
                <w:spacing w:val="5"/>
                <w:sz w:val="22"/>
                <w:szCs w:val="22"/>
                <w:lang w:eastAsia="zh-CN"/>
              </w:rPr>
              <w:t>罚没金额</w:t>
            </w:r>
          </w:p>
          <w:p w14:paraId="5A86F5D7">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5"/>
                <w:sz w:val="22"/>
                <w:szCs w:val="22"/>
                <w:lang w:eastAsia="zh-CN"/>
              </w:rPr>
            </w:pPr>
            <w:r>
              <w:rPr>
                <w:rFonts w:hint="eastAsia" w:cs="宋体"/>
                <w:spacing w:val="5"/>
                <w:sz w:val="22"/>
                <w:szCs w:val="22"/>
                <w:lang w:eastAsia="zh-CN"/>
              </w:rPr>
              <w:t>（元）</w:t>
            </w:r>
          </w:p>
        </w:tc>
        <w:tc>
          <w:tcPr>
            <w:tcW w:w="1106" w:type="dxa"/>
            <w:noWrap w:val="0"/>
            <w:vAlign w:val="center"/>
          </w:tcPr>
          <w:p w14:paraId="0C9672E3">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r>
              <w:rPr>
                <w:rFonts w:hint="eastAsia" w:ascii="宋体" w:hAnsi="宋体" w:eastAsia="宋体" w:cs="宋体"/>
                <w:spacing w:val="-4"/>
                <w:sz w:val="22"/>
                <w:szCs w:val="22"/>
              </w:rPr>
              <w:t>投诉举报为线索来源办案数</w:t>
            </w:r>
            <w:r>
              <w:rPr>
                <w:rFonts w:hint="eastAsia" w:ascii="宋体" w:hAnsi="宋体" w:eastAsia="宋体" w:cs="宋体"/>
                <w:spacing w:val="13"/>
                <w:sz w:val="22"/>
                <w:szCs w:val="22"/>
              </w:rPr>
              <w:t>(件)</w:t>
            </w:r>
          </w:p>
        </w:tc>
        <w:tc>
          <w:tcPr>
            <w:tcW w:w="1196" w:type="dxa"/>
            <w:noWrap w:val="0"/>
            <w:vAlign w:val="center"/>
          </w:tcPr>
          <w:p w14:paraId="34386E88">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pacing w:val="-4"/>
                <w:sz w:val="22"/>
                <w:szCs w:val="22"/>
              </w:rPr>
            </w:pPr>
            <w:r>
              <w:rPr>
                <w:rFonts w:hint="eastAsia" w:ascii="宋体" w:hAnsi="宋体" w:eastAsia="宋体" w:cs="宋体"/>
                <w:spacing w:val="-4"/>
                <w:sz w:val="22"/>
                <w:szCs w:val="22"/>
              </w:rPr>
              <w:t>重大执法决定</w:t>
            </w:r>
            <w:r>
              <w:rPr>
                <w:rFonts w:hint="eastAsia" w:ascii="宋体" w:hAnsi="宋体" w:eastAsia="宋体" w:cs="宋体"/>
                <w:spacing w:val="-2"/>
                <w:sz w:val="22"/>
                <w:szCs w:val="22"/>
              </w:rPr>
              <w:t>法制审核案件</w:t>
            </w:r>
            <w:r>
              <w:rPr>
                <w:rFonts w:hint="eastAsia" w:ascii="宋体" w:hAnsi="宋体" w:eastAsia="宋体" w:cs="宋体"/>
                <w:spacing w:val="13"/>
                <w:sz w:val="22"/>
                <w:szCs w:val="22"/>
              </w:rPr>
              <w:t>(件)</w:t>
            </w:r>
          </w:p>
        </w:tc>
        <w:tc>
          <w:tcPr>
            <w:tcW w:w="1016" w:type="dxa"/>
            <w:noWrap w:val="0"/>
            <w:vAlign w:val="center"/>
          </w:tcPr>
          <w:p w14:paraId="7E67DAC4">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免罚案件</w:t>
            </w:r>
          </w:p>
          <w:p w14:paraId="4F19CDCF">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（件）</w:t>
            </w:r>
          </w:p>
        </w:tc>
        <w:tc>
          <w:tcPr>
            <w:tcW w:w="1106" w:type="dxa"/>
            <w:noWrap w:val="0"/>
            <w:vAlign w:val="center"/>
          </w:tcPr>
          <w:p w14:paraId="4BBC45BE">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免罚金额</w:t>
            </w:r>
          </w:p>
          <w:p w14:paraId="6B6E2877">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（元）</w:t>
            </w:r>
          </w:p>
        </w:tc>
        <w:tc>
          <w:tcPr>
            <w:tcW w:w="1106" w:type="dxa"/>
            <w:noWrap w:val="0"/>
            <w:vAlign w:val="center"/>
          </w:tcPr>
          <w:p w14:paraId="63644276">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从轻减轻</w:t>
            </w:r>
          </w:p>
          <w:p w14:paraId="112DD992">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案件（件）</w:t>
            </w:r>
          </w:p>
        </w:tc>
        <w:tc>
          <w:tcPr>
            <w:tcW w:w="1106" w:type="dxa"/>
            <w:noWrap w:val="0"/>
            <w:vAlign w:val="center"/>
          </w:tcPr>
          <w:p w14:paraId="0E494301">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从轻减轻</w:t>
            </w:r>
          </w:p>
          <w:p w14:paraId="11479F76">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金额（元）</w:t>
            </w:r>
          </w:p>
        </w:tc>
        <w:tc>
          <w:tcPr>
            <w:tcW w:w="1106" w:type="dxa"/>
            <w:noWrap w:val="0"/>
            <w:vAlign w:val="center"/>
          </w:tcPr>
          <w:p w14:paraId="6903E0D6">
            <w:pPr>
              <w:pStyle w:val="8"/>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cs="宋体"/>
                <w:spacing w:val="-4"/>
                <w:sz w:val="22"/>
                <w:szCs w:val="22"/>
                <w:lang w:eastAsia="zh-CN"/>
              </w:rPr>
            </w:pPr>
            <w:r>
              <w:rPr>
                <w:rFonts w:hint="eastAsia" w:cs="宋体"/>
                <w:spacing w:val="-4"/>
                <w:sz w:val="22"/>
                <w:szCs w:val="22"/>
                <w:lang w:eastAsia="zh-CN"/>
              </w:rPr>
              <w:t>包容审慎适用行政强制措施（起）</w:t>
            </w:r>
          </w:p>
        </w:tc>
      </w:tr>
      <w:tr w14:paraId="5B4F8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723" w:type="dxa"/>
            <w:noWrap w:val="0"/>
            <w:vAlign w:val="center"/>
          </w:tcPr>
          <w:p w14:paraId="2E28D5DD">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ascii="宋体" w:hAnsi="宋体" w:eastAsia="宋体" w:cs="宋体"/>
                <w:sz w:val="22"/>
                <w:szCs w:val="22"/>
              </w:rPr>
            </w:pPr>
          </w:p>
        </w:tc>
        <w:tc>
          <w:tcPr>
            <w:tcW w:w="1106" w:type="dxa"/>
            <w:noWrap w:val="0"/>
            <w:vAlign w:val="center"/>
          </w:tcPr>
          <w:p w14:paraId="752AE50D">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237294EB">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4FF3A6EC">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8</w:t>
            </w:r>
          </w:p>
        </w:tc>
        <w:tc>
          <w:tcPr>
            <w:tcW w:w="1348" w:type="dxa"/>
            <w:noWrap w:val="0"/>
            <w:vAlign w:val="center"/>
          </w:tcPr>
          <w:p w14:paraId="0170BB09">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950" w:type="dxa"/>
            <w:noWrap w:val="0"/>
            <w:vAlign w:val="center"/>
          </w:tcPr>
          <w:p w14:paraId="11EEA821">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8</w:t>
            </w:r>
          </w:p>
        </w:tc>
        <w:tc>
          <w:tcPr>
            <w:tcW w:w="1048" w:type="dxa"/>
            <w:noWrap w:val="0"/>
            <w:vAlign w:val="center"/>
          </w:tcPr>
          <w:p w14:paraId="1CEFAA7A">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2803FEC7">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96" w:type="dxa"/>
            <w:noWrap w:val="0"/>
            <w:vAlign w:val="center"/>
          </w:tcPr>
          <w:p w14:paraId="2C7D03E7">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016" w:type="dxa"/>
            <w:noWrap w:val="0"/>
            <w:vAlign w:val="center"/>
          </w:tcPr>
          <w:p w14:paraId="42424FA7">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39E1095F">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72335A5A">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0428D03B">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c>
          <w:tcPr>
            <w:tcW w:w="1106" w:type="dxa"/>
            <w:noWrap w:val="0"/>
            <w:vAlign w:val="center"/>
          </w:tcPr>
          <w:p w14:paraId="095C60C3">
            <w:pPr>
              <w:keepNext w:val="0"/>
              <w:keepLines w:val="0"/>
              <w:pageBreakBefore w:val="0"/>
              <w:widowControl/>
              <w:kinsoku w:val="0"/>
              <w:wordWrap/>
              <w:overflowPunct/>
              <w:topLinePunct w:val="0"/>
              <w:autoSpaceDE w:val="0"/>
              <w:autoSpaceDN w:val="0"/>
              <w:bidi w:val="0"/>
              <w:adjustRightInd w:val="0"/>
              <w:snapToGrid w:val="0"/>
              <w:spacing w:line="280" w:lineRule="exact"/>
              <w:jc w:val="center"/>
              <w:textAlignment w:val="baseline"/>
              <w:outlineLvl w:val="9"/>
              <w:rPr>
                <w:rFonts w:hint="eastAsia" w:ascii="宋体" w:hAnsi="宋体" w:eastAsia="宋体" w:cs="宋体"/>
                <w:sz w:val="22"/>
                <w:szCs w:val="22"/>
                <w:lang w:val="en-US" w:eastAsia="zh-CN"/>
              </w:rPr>
            </w:pPr>
            <w:r>
              <w:rPr>
                <w:rFonts w:hint="eastAsia" w:ascii="宋体" w:hAnsi="宋体" w:cs="宋体"/>
                <w:sz w:val="22"/>
                <w:szCs w:val="22"/>
                <w:lang w:val="en-US" w:eastAsia="zh-CN"/>
              </w:rPr>
              <w:t>0</w:t>
            </w:r>
          </w:p>
        </w:tc>
      </w:tr>
    </w:tbl>
    <w:p w14:paraId="7014DFA4">
      <w:pPr>
        <w:pStyle w:val="2"/>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spacing w:val="1"/>
          <w:position w:val="4"/>
          <w:sz w:val="24"/>
          <w:szCs w:val="24"/>
        </w:rPr>
      </w:pPr>
    </w:p>
    <w:p w14:paraId="448BDB27">
      <w:pPr>
        <w:pStyle w:val="2"/>
        <w:keepNext w:val="0"/>
        <w:keepLines w:val="0"/>
        <w:pageBreakBefore w:val="0"/>
        <w:widowControl w:val="0"/>
        <w:kinsoku/>
        <w:wordWrap/>
        <w:overflowPunct/>
        <w:topLinePunct w:val="0"/>
        <w:autoSpaceDE/>
        <w:autoSpaceDN/>
        <w:bidi w:val="0"/>
        <w:adjustRightInd/>
        <w:snapToGrid/>
        <w:spacing w:line="300" w:lineRule="exact"/>
        <w:ind w:left="1452" w:hanging="1452" w:hangingChars="600"/>
        <w:textAlignment w:val="auto"/>
        <w:rPr>
          <w:rFonts w:hint="eastAsia" w:ascii="仿宋_GB2312" w:hAnsi="仿宋_GB2312" w:eastAsia="仿宋_GB2312" w:cs="仿宋_GB2312"/>
          <w:spacing w:val="1"/>
          <w:position w:val="4"/>
          <w:sz w:val="24"/>
          <w:szCs w:val="24"/>
          <w:lang w:eastAsia="zh-CN"/>
        </w:rPr>
      </w:pPr>
      <w:r>
        <w:rPr>
          <w:rFonts w:hint="eastAsia" w:ascii="仿宋_GB2312" w:hAnsi="仿宋_GB2312" w:eastAsia="仿宋_GB2312" w:cs="仿宋_GB2312"/>
          <w:spacing w:val="1"/>
          <w:position w:val="4"/>
          <w:sz w:val="24"/>
          <w:szCs w:val="24"/>
        </w:rPr>
        <w:t>填表说明：1.</w:t>
      </w:r>
      <w:r>
        <w:rPr>
          <w:rFonts w:hint="eastAsia" w:ascii="仿宋_GB2312" w:hAnsi="仿宋_GB2312" w:eastAsia="仿宋_GB2312" w:cs="仿宋_GB2312"/>
          <w:spacing w:val="1"/>
          <w:position w:val="4"/>
          <w:sz w:val="24"/>
          <w:szCs w:val="24"/>
          <w:lang w:eastAsia="zh-CN"/>
        </w:rPr>
        <w:t>涉企行政执法定义指企业（包括有限责任公司、股份有限公司、个人独资企业和其他企业；个体工商户、个人合伙、农民专业合作社视为企业）为行政相对人的执法行为。</w:t>
      </w:r>
    </w:p>
    <w:p w14:paraId="0F40A75C">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ascii="仿宋_GB2312" w:hAnsi="仿宋_GB2312" w:eastAsia="仿宋_GB2312" w:cs="仿宋_GB2312"/>
          <w:sz w:val="24"/>
          <w:szCs w:val="24"/>
        </w:rPr>
      </w:pPr>
      <w:r>
        <w:rPr>
          <w:rFonts w:hint="eastAsia" w:ascii="仿宋_GB2312" w:hAnsi="仿宋_GB2312" w:eastAsia="仿宋_GB2312" w:cs="仿宋_GB2312"/>
          <w:spacing w:val="1"/>
          <w:position w:val="4"/>
          <w:sz w:val="24"/>
          <w:szCs w:val="24"/>
          <w:lang w:val="en-US" w:eastAsia="zh-CN"/>
        </w:rPr>
        <w:t>2.</w:t>
      </w:r>
      <w:r>
        <w:rPr>
          <w:rFonts w:hint="eastAsia" w:ascii="仿宋_GB2312" w:hAnsi="仿宋_GB2312" w:eastAsia="仿宋_GB2312" w:cs="仿宋_GB2312"/>
          <w:spacing w:val="1"/>
          <w:position w:val="4"/>
          <w:sz w:val="24"/>
          <w:szCs w:val="24"/>
        </w:rPr>
        <w:t>各单位汇总的执法案件数据必须是当</w:t>
      </w:r>
      <w:r>
        <w:rPr>
          <w:rFonts w:hint="eastAsia" w:ascii="仿宋_GB2312" w:hAnsi="仿宋_GB2312" w:eastAsia="仿宋_GB2312" w:cs="仿宋_GB2312"/>
          <w:position w:val="4"/>
          <w:sz w:val="24"/>
          <w:szCs w:val="24"/>
        </w:rPr>
        <w:t>年已办结的案件数据。</w:t>
      </w:r>
    </w:p>
    <w:p w14:paraId="5B9569CF">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ascii="仿宋_GB2312" w:hAnsi="仿宋_GB2312" w:eastAsia="仿宋_GB2312" w:cs="仿宋_GB2312"/>
          <w:sz w:val="24"/>
          <w:szCs w:val="24"/>
        </w:rPr>
      </w:pPr>
      <w:r>
        <w:rPr>
          <w:rFonts w:hint="eastAsia" w:ascii="仿宋_GB2312" w:hAnsi="仿宋_GB2312" w:eastAsia="仿宋_GB2312" w:cs="仿宋_GB2312"/>
          <w:spacing w:val="1"/>
          <w:sz w:val="24"/>
          <w:szCs w:val="24"/>
          <w:lang w:val="en-US" w:eastAsia="zh-CN"/>
        </w:rPr>
        <w:t>3</w:t>
      </w:r>
      <w:r>
        <w:rPr>
          <w:rFonts w:hint="eastAsia" w:ascii="仿宋_GB2312" w:hAnsi="仿宋_GB2312" w:eastAsia="仿宋_GB2312" w:cs="仿宋_GB2312"/>
          <w:spacing w:val="1"/>
          <w:sz w:val="24"/>
          <w:szCs w:val="24"/>
        </w:rPr>
        <w:t>.本表汇总数据为</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年1月1日至</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年12月31日止。</w:t>
      </w:r>
    </w:p>
    <w:p w14:paraId="7EE73239">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hint="eastAsia" w:ascii="仿宋_GB2312" w:hAnsi="仿宋_GB2312" w:eastAsia="仿宋_GB2312" w:cs="仿宋_GB2312"/>
          <w:spacing w:val="1"/>
          <w:sz w:val="24"/>
          <w:szCs w:val="24"/>
          <w:lang w:eastAsia="zh-CN"/>
        </w:rPr>
      </w:pPr>
      <w:r>
        <w:rPr>
          <w:rFonts w:hint="eastAsia" w:ascii="仿宋_GB2312" w:hAnsi="仿宋_GB2312" w:eastAsia="仿宋_GB2312" w:cs="仿宋_GB2312"/>
          <w:spacing w:val="1"/>
          <w:sz w:val="24"/>
          <w:szCs w:val="24"/>
          <w:lang w:val="en-US" w:eastAsia="zh-CN"/>
        </w:rPr>
        <w:t>4</w:t>
      </w:r>
      <w:r>
        <w:rPr>
          <w:rFonts w:hint="eastAsia" w:ascii="仿宋_GB2312" w:hAnsi="仿宋_GB2312" w:eastAsia="仿宋_GB2312" w:cs="仿宋_GB2312"/>
          <w:spacing w:val="1"/>
          <w:sz w:val="24"/>
          <w:szCs w:val="24"/>
        </w:rPr>
        <w:t>.执法数据为“0”的也要进行分析</w:t>
      </w:r>
      <w:r>
        <w:rPr>
          <w:rFonts w:hint="eastAsia" w:ascii="仿宋_GB2312" w:hAnsi="仿宋_GB2312" w:eastAsia="仿宋_GB2312" w:cs="仿宋_GB2312"/>
          <w:spacing w:val="1"/>
          <w:sz w:val="24"/>
          <w:szCs w:val="24"/>
          <w:lang w:eastAsia="zh-CN"/>
        </w:rPr>
        <w:t>。</w:t>
      </w:r>
    </w:p>
    <w:p w14:paraId="7D2DADE3">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hint="eastAsia" w:ascii="仿宋_GB2312" w:hAnsi="仿宋_GB2312" w:eastAsia="仿宋_GB2312" w:cs="仿宋_GB2312"/>
          <w:spacing w:val="1"/>
          <w:sz w:val="24"/>
          <w:szCs w:val="24"/>
          <w:lang w:eastAsia="zh-CN"/>
        </w:rPr>
      </w:pP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lang w:eastAsia="zh-CN"/>
        </w:rPr>
        <w:t>.县市区数据含乡镇（街道）执法数据，但注意不要与委托执法部门重复统计。</w:t>
      </w:r>
    </w:p>
    <w:p w14:paraId="4600CE60">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hint="eastAsia" w:ascii="仿宋_GB2312" w:hAnsi="仿宋_GB2312" w:eastAsia="仿宋_GB2312" w:cs="仿宋_GB2312"/>
          <w:spacing w:val="1"/>
          <w:sz w:val="24"/>
          <w:szCs w:val="24"/>
        </w:rPr>
      </w:pPr>
      <w:r>
        <w:rPr>
          <w:rFonts w:hint="eastAsia" w:ascii="仿宋_GB2312" w:hAnsi="仿宋_GB2312" w:eastAsia="仿宋_GB2312" w:cs="仿宋_GB2312"/>
          <w:spacing w:val="1"/>
          <w:sz w:val="24"/>
          <w:szCs w:val="24"/>
          <w:lang w:val="en-US" w:eastAsia="zh-CN"/>
        </w:rPr>
        <w:t>6.</w:t>
      </w:r>
      <w:r>
        <w:rPr>
          <w:rFonts w:hint="eastAsia" w:ascii="仿宋_GB2312" w:hAnsi="仿宋_GB2312" w:eastAsia="仿宋_GB2312" w:cs="仿宋_GB2312"/>
          <w:spacing w:val="1"/>
          <w:sz w:val="24"/>
          <w:szCs w:val="24"/>
        </w:rPr>
        <w:t>委托执法的有关数据由委托机关汇总报告、公开。</w:t>
      </w:r>
    </w:p>
    <w:p w14:paraId="030A7764">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hint="eastAsia" w:ascii="仿宋_GB2312" w:hAnsi="仿宋_GB2312" w:eastAsia="仿宋_GB2312" w:cs="仿宋_GB2312"/>
          <w:spacing w:val="1"/>
          <w:sz w:val="24"/>
          <w:szCs w:val="24"/>
        </w:rPr>
      </w:pPr>
      <w:r>
        <w:rPr>
          <w:rFonts w:hint="eastAsia" w:ascii="仿宋_GB2312" w:hAnsi="仿宋_GB2312" w:eastAsia="仿宋_GB2312" w:cs="仿宋_GB2312"/>
          <w:spacing w:val="1"/>
          <w:sz w:val="24"/>
          <w:szCs w:val="24"/>
          <w:lang w:val="en-US" w:eastAsia="zh-CN"/>
        </w:rPr>
        <w:t>7.“</w:t>
      </w:r>
      <w:r>
        <w:rPr>
          <w:rFonts w:hint="eastAsia" w:ascii="仿宋_GB2312" w:hAnsi="仿宋_GB2312" w:eastAsia="仿宋_GB2312" w:cs="仿宋_GB2312"/>
          <w:spacing w:val="1"/>
          <w:sz w:val="24"/>
          <w:szCs w:val="24"/>
        </w:rPr>
        <w:t>包容审慎适用行政强制措施情况</w:t>
      </w:r>
      <w:r>
        <w:rPr>
          <w:rFonts w:hint="eastAsia" w:ascii="仿宋_GB2312" w:hAnsi="仿宋_GB2312" w:eastAsia="仿宋_GB2312" w:cs="仿宋_GB2312"/>
          <w:spacing w:val="1"/>
          <w:sz w:val="24"/>
          <w:szCs w:val="24"/>
          <w:lang w:val="en-US" w:eastAsia="zh-CN"/>
        </w:rPr>
        <w:t>”</w:t>
      </w:r>
      <w:r>
        <w:rPr>
          <w:rFonts w:hint="eastAsia" w:ascii="仿宋_GB2312" w:hAnsi="仿宋_GB2312" w:eastAsia="仿宋_GB2312" w:cs="仿宋_GB2312"/>
          <w:spacing w:val="1"/>
          <w:sz w:val="24"/>
          <w:szCs w:val="24"/>
          <w:lang w:eastAsia="zh-CN"/>
        </w:rPr>
        <w:t>包括不予实施行政强制决定、限缩行政强制措施范围、限缩行政强制措施实施时间。</w:t>
      </w:r>
    </w:p>
    <w:p w14:paraId="59F92779">
      <w:pPr>
        <w:pStyle w:val="2"/>
        <w:keepNext w:val="0"/>
        <w:keepLines w:val="0"/>
        <w:pageBreakBefore w:val="0"/>
        <w:widowControl w:val="0"/>
        <w:kinsoku/>
        <w:wordWrap/>
        <w:overflowPunct/>
        <w:topLinePunct w:val="0"/>
        <w:autoSpaceDE/>
        <w:autoSpaceDN/>
        <w:bidi w:val="0"/>
        <w:adjustRightInd/>
        <w:snapToGrid/>
        <w:spacing w:line="300" w:lineRule="exact"/>
        <w:ind w:firstLine="1210" w:firstLineChars="500"/>
        <w:textAlignment w:val="auto"/>
        <w:rPr>
          <w:rFonts w:hint="eastAsia" w:ascii="仿宋_GB2312" w:hAnsi="仿宋_GB2312" w:eastAsia="仿宋_GB2312" w:cs="仿宋_GB2312"/>
          <w:spacing w:val="1"/>
          <w:sz w:val="24"/>
          <w:szCs w:val="24"/>
          <w:lang w:eastAsia="zh-CN"/>
        </w:rPr>
      </w:pPr>
      <w:r>
        <w:rPr>
          <w:rFonts w:hint="eastAsia" w:ascii="仿宋_GB2312" w:hAnsi="仿宋_GB2312" w:eastAsia="仿宋_GB2312" w:cs="仿宋_GB2312"/>
          <w:spacing w:val="1"/>
          <w:sz w:val="24"/>
          <w:szCs w:val="24"/>
          <w:lang w:val="en-US" w:eastAsia="zh-CN"/>
        </w:rPr>
        <w:t>8.“</w:t>
      </w:r>
      <w:r>
        <w:rPr>
          <w:rFonts w:hint="eastAsia" w:ascii="仿宋_GB2312" w:hAnsi="仿宋_GB2312" w:eastAsia="仿宋_GB2312" w:cs="仿宋_GB2312"/>
          <w:spacing w:val="1"/>
          <w:sz w:val="24"/>
          <w:szCs w:val="24"/>
          <w:lang w:eastAsia="zh-CN"/>
        </w:rPr>
        <w:t>罚没金额</w:t>
      </w:r>
      <w:r>
        <w:rPr>
          <w:rFonts w:hint="eastAsia" w:ascii="仿宋_GB2312" w:hAnsi="仿宋_GB2312" w:eastAsia="仿宋_GB2312" w:cs="仿宋_GB2312"/>
          <w:spacing w:val="1"/>
          <w:sz w:val="24"/>
          <w:szCs w:val="24"/>
          <w:lang w:val="en-US" w:eastAsia="zh-CN"/>
        </w:rPr>
        <w:t>”</w:t>
      </w:r>
      <w:r>
        <w:rPr>
          <w:rFonts w:hint="eastAsia" w:ascii="仿宋_GB2312" w:hAnsi="仿宋_GB2312" w:eastAsia="仿宋_GB2312" w:cs="仿宋_GB2312"/>
          <w:spacing w:val="1"/>
          <w:sz w:val="24"/>
          <w:szCs w:val="24"/>
          <w:lang w:eastAsia="zh-CN"/>
        </w:rPr>
        <w:t>以年底各单位财政入库数额为准。</w:t>
      </w:r>
    </w:p>
    <w:p w14:paraId="6B31EAF0">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方正小标宋_GBK" w:eastAsia="方正小标宋_GBK"/>
          <w:sz w:val="44"/>
          <w:szCs w:val="44"/>
          <w:lang w:val="en-US"/>
        </w:rPr>
      </w:pPr>
      <w:r>
        <w:rPr>
          <w:rFonts w:hint="eastAsia" w:ascii="仿宋_GB2312" w:hAnsi="仿宋_GB2312" w:eastAsia="仿宋_GB2312" w:cs="仿宋_GB2312"/>
          <w:spacing w:val="1"/>
          <w:sz w:val="24"/>
          <w:szCs w:val="24"/>
          <w:lang w:eastAsia="zh-CN"/>
        </w:rPr>
        <w:br w:type="page"/>
      </w:r>
      <w:r>
        <w:rPr>
          <w:rFonts w:hint="eastAsia" w:ascii="黑体" w:hAnsi="黑体" w:eastAsia="黑体" w:cs="黑体"/>
          <w:b w:val="0"/>
          <w:bCs w:val="0"/>
          <w:spacing w:val="-11"/>
          <w:kern w:val="2"/>
          <w:sz w:val="32"/>
          <w:szCs w:val="32"/>
          <w:lang w:val="en-US" w:eastAsia="zh-CN" w:bidi="ar-SA"/>
        </w:rPr>
        <w:t>附件3</w:t>
      </w:r>
    </w:p>
    <w:p w14:paraId="417A1189">
      <w:pPr>
        <w:pStyle w:val="10"/>
        <w:keepNext w:val="0"/>
        <w:keepLines w:val="0"/>
        <w:pageBreakBefore w:val="0"/>
        <w:widowControl w:val="0"/>
        <w:kinsoku/>
        <w:wordWrap/>
        <w:overflowPunct/>
        <w:topLinePunct w:val="0"/>
        <w:autoSpaceDE/>
        <w:autoSpaceDN/>
        <w:bidi w:val="0"/>
        <w:spacing w:line="576"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202</w:t>
      </w:r>
      <w:r>
        <w:rPr>
          <w:rFonts w:hint="eastAsia" w:ascii="方正小标宋_GBK" w:eastAsia="方正小标宋_GBK"/>
          <w:sz w:val="44"/>
          <w:szCs w:val="44"/>
          <w:lang w:val="en-US" w:eastAsia="zh-CN"/>
        </w:rPr>
        <w:t>5</w:t>
      </w:r>
      <w:r>
        <w:rPr>
          <w:rFonts w:hint="eastAsia" w:ascii="方正小标宋_GBK" w:eastAsia="方正小标宋_GBK"/>
          <w:sz w:val="44"/>
          <w:szCs w:val="44"/>
        </w:rPr>
        <w:t>年行政执法</w:t>
      </w:r>
      <w:r>
        <w:rPr>
          <w:rFonts w:hint="eastAsia" w:ascii="方正小标宋_GBK" w:eastAsia="方正小标宋_GBK"/>
          <w:sz w:val="44"/>
          <w:szCs w:val="44"/>
          <w:lang w:eastAsia="zh-CN"/>
        </w:rPr>
        <w:t>保障</w:t>
      </w:r>
      <w:r>
        <w:rPr>
          <w:rFonts w:hint="eastAsia" w:ascii="方正小标宋_GBK" w:eastAsia="方正小标宋_GBK"/>
          <w:sz w:val="44"/>
          <w:szCs w:val="44"/>
        </w:rPr>
        <w:t>情况统计表</w:t>
      </w:r>
    </w:p>
    <w:p w14:paraId="6CFC3523">
      <w:pPr>
        <w:keepNext w:val="0"/>
        <w:keepLines w:val="0"/>
        <w:pageBreakBefore w:val="0"/>
        <w:wordWrap/>
        <w:overflowPunct/>
        <w:topLinePunct w:val="0"/>
        <w:bidi w:val="0"/>
        <w:spacing w:line="400" w:lineRule="exact"/>
        <w:ind w:firstLine="270" w:firstLineChars="100"/>
        <w:rPr>
          <w:rFonts w:hint="eastAsia" w:ascii="楷体_GB2312" w:hAnsi="楷体_GB2312" w:eastAsia="楷体_GB2312" w:cs="楷体_GB2312"/>
          <w:spacing w:val="-15"/>
          <w:sz w:val="30"/>
          <w:szCs w:val="30"/>
          <w:lang w:eastAsia="zh-CN"/>
        </w:rPr>
      </w:pPr>
    </w:p>
    <w:p w14:paraId="31C21BB8">
      <w:pPr>
        <w:keepNext w:val="0"/>
        <w:keepLines w:val="0"/>
        <w:pageBreakBefore w:val="0"/>
        <w:wordWrap/>
        <w:overflowPunct/>
        <w:topLinePunct w:val="0"/>
        <w:bidi w:val="0"/>
        <w:spacing w:line="400" w:lineRule="exact"/>
        <w:ind w:firstLine="270" w:firstLineChars="100"/>
        <w:rPr>
          <w:rFonts w:hint="eastAsia" w:ascii="方正小标宋_GBK" w:eastAsia="方正小标宋_GBK"/>
          <w:sz w:val="44"/>
          <w:szCs w:val="44"/>
        </w:rPr>
      </w:pPr>
      <w:r>
        <w:rPr>
          <w:rFonts w:hint="eastAsia" w:ascii="楷体_GB2312" w:hAnsi="楷体_GB2312" w:eastAsia="楷体_GB2312" w:cs="楷体_GB2312"/>
          <w:spacing w:val="-15"/>
          <w:sz w:val="30"/>
          <w:szCs w:val="30"/>
          <w:lang w:eastAsia="zh-CN"/>
        </w:rPr>
        <w:t>填报</w:t>
      </w:r>
      <w:r>
        <w:rPr>
          <w:rFonts w:hint="eastAsia" w:ascii="楷体_GB2312" w:hAnsi="楷体_GB2312" w:eastAsia="楷体_GB2312" w:cs="楷体_GB2312"/>
          <w:spacing w:val="-15"/>
          <w:sz w:val="30"/>
          <w:szCs w:val="30"/>
        </w:rPr>
        <w:t xml:space="preserve">单位：(盖章) </w:t>
      </w:r>
      <w:r>
        <w:rPr>
          <w:rFonts w:hint="eastAsia" w:ascii="楷体_GB2312" w:hAnsi="楷体_GB2312" w:eastAsia="楷体_GB2312" w:cs="楷体_GB2312"/>
          <w:spacing w:val="-15"/>
          <w:sz w:val="30"/>
          <w:szCs w:val="30"/>
          <w:lang w:eastAsia="zh-CN"/>
        </w:rPr>
        <w:t xml:space="preserve">                                 </w:t>
      </w:r>
      <w:r>
        <w:rPr>
          <w:rFonts w:hint="eastAsia" w:ascii="楷体_GB2312" w:hAnsi="楷体_GB2312" w:eastAsia="楷体_GB2312" w:cs="楷体_GB2312"/>
          <w:spacing w:val="-15"/>
          <w:sz w:val="30"/>
          <w:szCs w:val="30"/>
        </w:rPr>
        <w:t>联系人和联系方式：</w:t>
      </w:r>
      <w:r>
        <w:rPr>
          <w:rFonts w:hint="eastAsia" w:ascii="楷体_GB2312" w:hAnsi="楷体_GB2312" w:eastAsia="楷体_GB2312" w:cs="楷体_GB2312"/>
          <w:spacing w:val="-15"/>
          <w:sz w:val="30"/>
          <w:szCs w:val="30"/>
          <w:lang w:val="en-US" w:eastAsia="zh-CN"/>
        </w:rPr>
        <w:t>刘卓13787321953</w:t>
      </w:r>
    </w:p>
    <w:tbl>
      <w:tblPr>
        <w:tblStyle w:val="5"/>
        <w:tblW w:w="14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737"/>
        <w:gridCol w:w="737"/>
        <w:gridCol w:w="775"/>
        <w:gridCol w:w="775"/>
        <w:gridCol w:w="1"/>
        <w:gridCol w:w="492"/>
        <w:gridCol w:w="566"/>
        <w:gridCol w:w="784"/>
        <w:gridCol w:w="950"/>
        <w:gridCol w:w="766"/>
        <w:gridCol w:w="750"/>
        <w:gridCol w:w="884"/>
        <w:gridCol w:w="750"/>
        <w:gridCol w:w="750"/>
        <w:gridCol w:w="833"/>
        <w:gridCol w:w="867"/>
        <w:gridCol w:w="700"/>
        <w:gridCol w:w="750"/>
        <w:gridCol w:w="1050"/>
      </w:tblGrid>
      <w:tr w14:paraId="7568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restart"/>
            <w:noWrap w:val="0"/>
            <w:vAlign w:val="center"/>
          </w:tcPr>
          <w:p w14:paraId="2C738C43">
            <w:pPr>
              <w:widowControl/>
              <w:spacing w:line="280" w:lineRule="exact"/>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sz w:val="24"/>
                <w:szCs w:val="32"/>
                <w:vertAlign w:val="baseline"/>
                <w:lang w:val="en-US" w:eastAsia="zh-CN"/>
              </w:rPr>
              <w:t>行政执法单位名称</w:t>
            </w:r>
          </w:p>
        </w:tc>
        <w:tc>
          <w:tcPr>
            <w:tcW w:w="737" w:type="dxa"/>
            <w:vMerge w:val="restart"/>
            <w:noWrap w:val="0"/>
            <w:vAlign w:val="center"/>
          </w:tcPr>
          <w:p w14:paraId="539B671F">
            <w:pPr>
              <w:widowControl/>
              <w:spacing w:line="280" w:lineRule="exact"/>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行政执法监督及法制审核人数</w:t>
            </w:r>
          </w:p>
        </w:tc>
        <w:tc>
          <w:tcPr>
            <w:tcW w:w="737" w:type="dxa"/>
            <w:vMerge w:val="restart"/>
            <w:noWrap w:val="0"/>
            <w:vAlign w:val="center"/>
          </w:tcPr>
          <w:p w14:paraId="069C4B7E">
            <w:pPr>
              <w:widowControl/>
              <w:spacing w:line="280" w:lineRule="exact"/>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kern w:val="0"/>
                <w:sz w:val="24"/>
                <w:szCs w:val="24"/>
                <w:lang w:eastAsia="zh-CN"/>
              </w:rPr>
              <w:t>行政执法岗位</w:t>
            </w:r>
            <w:r>
              <w:rPr>
                <w:rFonts w:hint="eastAsia" w:ascii="仿宋_GB2312" w:hAnsi="仿宋_GB2312" w:eastAsia="仿宋_GB2312" w:cs="仿宋_GB2312"/>
                <w:color w:val="000000"/>
                <w:kern w:val="0"/>
                <w:sz w:val="24"/>
                <w:szCs w:val="24"/>
              </w:rPr>
              <w:t>编制数</w:t>
            </w:r>
          </w:p>
        </w:tc>
        <w:tc>
          <w:tcPr>
            <w:tcW w:w="1550" w:type="dxa"/>
            <w:gridSpan w:val="2"/>
            <w:noWrap w:val="0"/>
            <w:vAlign w:val="center"/>
          </w:tcPr>
          <w:p w14:paraId="7A6132A3">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在岗执法人员数</w:t>
            </w:r>
          </w:p>
        </w:tc>
        <w:tc>
          <w:tcPr>
            <w:tcW w:w="1059" w:type="dxa"/>
            <w:gridSpan w:val="3"/>
            <w:noWrap w:val="0"/>
            <w:vAlign w:val="center"/>
          </w:tcPr>
          <w:p w14:paraId="43F2BB14">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执法辅助人员数</w:t>
            </w:r>
          </w:p>
        </w:tc>
        <w:tc>
          <w:tcPr>
            <w:tcW w:w="784" w:type="dxa"/>
            <w:vMerge w:val="restart"/>
            <w:noWrap w:val="0"/>
            <w:vAlign w:val="center"/>
          </w:tcPr>
          <w:p w14:paraId="3DC971AC">
            <w:pPr>
              <w:widowControl/>
              <w:spacing w:line="280" w:lineRule="exact"/>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kern w:val="0"/>
                <w:sz w:val="24"/>
                <w:szCs w:val="24"/>
                <w:lang w:eastAsia="zh-CN"/>
              </w:rPr>
              <w:t>本部门持证</w:t>
            </w:r>
            <w:r>
              <w:rPr>
                <w:rFonts w:hint="eastAsia" w:ascii="仿宋_GB2312" w:hAnsi="仿宋_GB2312" w:eastAsia="仿宋_GB2312" w:cs="仿宋_GB2312"/>
                <w:color w:val="000000"/>
                <w:kern w:val="0"/>
                <w:sz w:val="24"/>
                <w:szCs w:val="24"/>
              </w:rPr>
              <w:t>人数</w:t>
            </w:r>
          </w:p>
        </w:tc>
        <w:tc>
          <w:tcPr>
            <w:tcW w:w="950" w:type="dxa"/>
            <w:vMerge w:val="restart"/>
            <w:noWrap w:val="0"/>
            <w:vAlign w:val="center"/>
          </w:tcPr>
          <w:p w14:paraId="5C5D895A">
            <w:pPr>
              <w:widowControl/>
              <w:spacing w:line="280" w:lineRule="exact"/>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kern w:val="0"/>
                <w:sz w:val="24"/>
                <w:szCs w:val="24"/>
              </w:rPr>
              <w:t>综合行政执法</w:t>
            </w:r>
            <w:r>
              <w:rPr>
                <w:rFonts w:hint="eastAsia" w:ascii="仿宋_GB2312" w:hAnsi="仿宋_GB2312" w:eastAsia="仿宋_GB2312" w:cs="仿宋_GB2312"/>
                <w:color w:val="000000"/>
                <w:kern w:val="0"/>
                <w:sz w:val="24"/>
                <w:szCs w:val="24"/>
                <w:lang w:eastAsia="zh-CN"/>
              </w:rPr>
              <w:t>机构持证</w:t>
            </w:r>
            <w:r>
              <w:rPr>
                <w:rFonts w:hint="eastAsia" w:ascii="仿宋_GB2312" w:hAnsi="仿宋_GB2312" w:eastAsia="仿宋_GB2312" w:cs="仿宋_GB2312"/>
                <w:color w:val="000000"/>
                <w:kern w:val="0"/>
                <w:sz w:val="24"/>
                <w:szCs w:val="24"/>
              </w:rPr>
              <w:t>人数</w:t>
            </w:r>
          </w:p>
        </w:tc>
        <w:tc>
          <w:tcPr>
            <w:tcW w:w="1516" w:type="dxa"/>
            <w:gridSpan w:val="2"/>
            <w:noWrap w:val="0"/>
            <w:vAlign w:val="center"/>
          </w:tcPr>
          <w:p w14:paraId="4C2E5D47">
            <w:pPr>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行政执法</w:t>
            </w:r>
          </w:p>
          <w:p w14:paraId="71DD6922">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kern w:val="0"/>
                <w:sz w:val="24"/>
                <w:szCs w:val="24"/>
                <w:lang w:eastAsia="zh-CN"/>
              </w:rPr>
              <w:t>人员培训</w:t>
            </w:r>
          </w:p>
        </w:tc>
        <w:tc>
          <w:tcPr>
            <w:tcW w:w="4084" w:type="dxa"/>
            <w:gridSpan w:val="5"/>
            <w:noWrap w:val="0"/>
            <w:vAlign w:val="center"/>
          </w:tcPr>
          <w:p w14:paraId="3E15FFD2">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行政执法音像记录设备</w:t>
            </w:r>
          </w:p>
        </w:tc>
        <w:tc>
          <w:tcPr>
            <w:tcW w:w="2500" w:type="dxa"/>
            <w:gridSpan w:val="3"/>
            <w:noWrap w:val="0"/>
            <w:vAlign w:val="center"/>
          </w:tcPr>
          <w:p w14:paraId="514F6965">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执法类电子技术</w:t>
            </w:r>
          </w:p>
          <w:p w14:paraId="3D7120F5">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监控设备</w:t>
            </w:r>
          </w:p>
        </w:tc>
      </w:tr>
      <w:tr w14:paraId="7792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noWrap w:val="0"/>
            <w:vAlign w:val="center"/>
          </w:tcPr>
          <w:p w14:paraId="4688FA3C">
            <w:pPr>
              <w:jc w:val="center"/>
              <w:rPr>
                <w:rFonts w:hint="eastAsia" w:ascii="仿宋_GB2312" w:hAnsi="仿宋_GB2312" w:eastAsia="仿宋_GB2312" w:cs="仿宋_GB2312"/>
                <w:sz w:val="24"/>
                <w:szCs w:val="24"/>
                <w:vertAlign w:val="baseline"/>
              </w:rPr>
            </w:pPr>
          </w:p>
        </w:tc>
        <w:tc>
          <w:tcPr>
            <w:tcW w:w="737" w:type="dxa"/>
            <w:vMerge w:val="continue"/>
            <w:noWrap w:val="0"/>
            <w:vAlign w:val="center"/>
          </w:tcPr>
          <w:p w14:paraId="0F7717C6">
            <w:pPr>
              <w:jc w:val="center"/>
              <w:rPr>
                <w:rFonts w:hint="eastAsia" w:ascii="仿宋_GB2312" w:hAnsi="仿宋_GB2312" w:eastAsia="仿宋_GB2312" w:cs="仿宋_GB2312"/>
                <w:sz w:val="24"/>
                <w:szCs w:val="24"/>
                <w:vertAlign w:val="baseline"/>
              </w:rPr>
            </w:pPr>
          </w:p>
        </w:tc>
        <w:tc>
          <w:tcPr>
            <w:tcW w:w="737" w:type="dxa"/>
            <w:vMerge w:val="continue"/>
            <w:noWrap w:val="0"/>
            <w:vAlign w:val="center"/>
          </w:tcPr>
          <w:p w14:paraId="6082FF3F">
            <w:pPr>
              <w:jc w:val="center"/>
              <w:rPr>
                <w:rFonts w:hint="eastAsia" w:ascii="仿宋_GB2312" w:hAnsi="仿宋_GB2312" w:eastAsia="仿宋_GB2312" w:cs="仿宋_GB2312"/>
                <w:sz w:val="24"/>
                <w:szCs w:val="24"/>
                <w:vertAlign w:val="baseline"/>
              </w:rPr>
            </w:pPr>
          </w:p>
        </w:tc>
        <w:tc>
          <w:tcPr>
            <w:tcW w:w="775" w:type="dxa"/>
            <w:noWrap w:val="0"/>
            <w:vAlign w:val="center"/>
          </w:tcPr>
          <w:p w14:paraId="376DF6C0">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行政编制</w:t>
            </w:r>
          </w:p>
        </w:tc>
        <w:tc>
          <w:tcPr>
            <w:tcW w:w="775" w:type="dxa"/>
            <w:noWrap w:val="0"/>
            <w:vAlign w:val="center"/>
          </w:tcPr>
          <w:p w14:paraId="3D5E8243">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事业编制</w:t>
            </w:r>
          </w:p>
        </w:tc>
        <w:tc>
          <w:tcPr>
            <w:tcW w:w="493" w:type="dxa"/>
            <w:gridSpan w:val="2"/>
            <w:noWrap w:val="0"/>
            <w:vAlign w:val="center"/>
          </w:tcPr>
          <w:p w14:paraId="4779B323">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工勤</w:t>
            </w:r>
          </w:p>
        </w:tc>
        <w:tc>
          <w:tcPr>
            <w:tcW w:w="566" w:type="dxa"/>
            <w:noWrap w:val="0"/>
            <w:vAlign w:val="center"/>
          </w:tcPr>
          <w:p w14:paraId="09C0F36A">
            <w:pPr>
              <w:spacing w:line="280" w:lineRule="exact"/>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外聘</w:t>
            </w:r>
          </w:p>
        </w:tc>
        <w:tc>
          <w:tcPr>
            <w:tcW w:w="784" w:type="dxa"/>
            <w:vMerge w:val="continue"/>
            <w:noWrap w:val="0"/>
            <w:vAlign w:val="center"/>
          </w:tcPr>
          <w:p w14:paraId="28DC15BD">
            <w:pPr>
              <w:jc w:val="center"/>
              <w:rPr>
                <w:rFonts w:hint="eastAsia" w:ascii="仿宋_GB2312" w:hAnsi="仿宋_GB2312" w:eastAsia="仿宋_GB2312" w:cs="仿宋_GB2312"/>
                <w:sz w:val="24"/>
                <w:szCs w:val="24"/>
                <w:vertAlign w:val="baseline"/>
              </w:rPr>
            </w:pPr>
          </w:p>
        </w:tc>
        <w:tc>
          <w:tcPr>
            <w:tcW w:w="950" w:type="dxa"/>
            <w:vMerge w:val="continue"/>
            <w:noWrap w:val="0"/>
            <w:vAlign w:val="center"/>
          </w:tcPr>
          <w:p w14:paraId="13A3DC4C">
            <w:pPr>
              <w:jc w:val="center"/>
              <w:rPr>
                <w:rFonts w:hint="eastAsia" w:ascii="仿宋_GB2312" w:hAnsi="仿宋_GB2312" w:eastAsia="仿宋_GB2312" w:cs="仿宋_GB2312"/>
                <w:sz w:val="24"/>
                <w:szCs w:val="24"/>
                <w:vertAlign w:val="baseline"/>
              </w:rPr>
            </w:pPr>
          </w:p>
        </w:tc>
        <w:tc>
          <w:tcPr>
            <w:tcW w:w="766" w:type="dxa"/>
            <w:noWrap w:val="0"/>
            <w:vAlign w:val="center"/>
          </w:tcPr>
          <w:p w14:paraId="58003D7F">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人次</w:t>
            </w:r>
          </w:p>
          <w:p w14:paraId="5AE6F659">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(人)</w:t>
            </w:r>
          </w:p>
        </w:tc>
        <w:tc>
          <w:tcPr>
            <w:tcW w:w="750" w:type="dxa"/>
            <w:noWrap w:val="0"/>
            <w:vAlign w:val="center"/>
          </w:tcPr>
          <w:p w14:paraId="44CB3632">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学时</w:t>
            </w:r>
          </w:p>
          <w:p w14:paraId="31370949">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(时)</w:t>
            </w:r>
          </w:p>
        </w:tc>
        <w:tc>
          <w:tcPr>
            <w:tcW w:w="884" w:type="dxa"/>
            <w:noWrap w:val="0"/>
            <w:vAlign w:val="center"/>
          </w:tcPr>
          <w:p w14:paraId="14D3755F">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执法记录仪</w:t>
            </w:r>
          </w:p>
          <w:p w14:paraId="2BE9240A">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rPr>
              <w:t>(台)</w:t>
            </w:r>
          </w:p>
        </w:tc>
        <w:tc>
          <w:tcPr>
            <w:tcW w:w="750" w:type="dxa"/>
            <w:noWrap w:val="0"/>
            <w:vAlign w:val="center"/>
          </w:tcPr>
          <w:p w14:paraId="63DE0A90">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录音笔</w:t>
            </w:r>
          </w:p>
          <w:p w14:paraId="0C61D3B7">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rPr>
              <w:t>(台)</w:t>
            </w:r>
          </w:p>
        </w:tc>
        <w:tc>
          <w:tcPr>
            <w:tcW w:w="750" w:type="dxa"/>
            <w:noWrap w:val="0"/>
            <w:vAlign w:val="center"/>
          </w:tcPr>
          <w:p w14:paraId="3BCF7087">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eastAsia="zh-CN"/>
              </w:rPr>
              <w:t>服装</w:t>
            </w:r>
            <w:r>
              <w:rPr>
                <w:rFonts w:hint="eastAsia" w:ascii="仿宋_GB2312" w:hAnsi="仿宋_GB2312" w:eastAsia="仿宋_GB2312" w:cs="仿宋_GB2312"/>
                <w:sz w:val="24"/>
                <w:szCs w:val="24"/>
              </w:rPr>
              <w:t>(人)</w:t>
            </w:r>
          </w:p>
        </w:tc>
        <w:tc>
          <w:tcPr>
            <w:tcW w:w="833" w:type="dxa"/>
            <w:noWrap w:val="0"/>
            <w:vAlign w:val="center"/>
          </w:tcPr>
          <w:p w14:paraId="3753CB45">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eastAsia="zh-CN"/>
              </w:rPr>
              <w:t>车辆</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辆</w:t>
            </w:r>
            <w:r>
              <w:rPr>
                <w:rFonts w:hint="eastAsia" w:ascii="仿宋_GB2312" w:hAnsi="仿宋_GB2312" w:eastAsia="仿宋_GB2312" w:cs="仿宋_GB2312"/>
                <w:sz w:val="24"/>
                <w:szCs w:val="24"/>
              </w:rPr>
              <w:t>)</w:t>
            </w:r>
          </w:p>
        </w:tc>
        <w:tc>
          <w:tcPr>
            <w:tcW w:w="867" w:type="dxa"/>
            <w:noWrap w:val="0"/>
            <w:vAlign w:val="center"/>
          </w:tcPr>
          <w:p w14:paraId="35AD347C">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kern w:val="0"/>
                <w:sz w:val="24"/>
                <w:szCs w:val="24"/>
              </w:rPr>
              <w:t>其他执法设备</w:t>
            </w:r>
          </w:p>
        </w:tc>
        <w:tc>
          <w:tcPr>
            <w:tcW w:w="700" w:type="dxa"/>
            <w:noWrap w:val="0"/>
            <w:vAlign w:val="center"/>
          </w:tcPr>
          <w:p w14:paraId="4B8A78B9">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执法领域</w:t>
            </w:r>
          </w:p>
        </w:tc>
        <w:tc>
          <w:tcPr>
            <w:tcW w:w="750" w:type="dxa"/>
            <w:noWrap w:val="0"/>
            <w:vAlign w:val="center"/>
          </w:tcPr>
          <w:p w14:paraId="61124FDD">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val="en-US" w:eastAsia="zh-CN"/>
              </w:rPr>
              <w:t>设备数量</w:t>
            </w:r>
          </w:p>
        </w:tc>
        <w:tc>
          <w:tcPr>
            <w:tcW w:w="1050" w:type="dxa"/>
            <w:noWrap w:val="0"/>
            <w:vAlign w:val="center"/>
          </w:tcPr>
          <w:p w14:paraId="5FFFC01C">
            <w:pPr>
              <w:widowControl/>
              <w:kinsoku w:val="0"/>
              <w:autoSpaceDE w:val="0"/>
              <w:autoSpaceDN w:val="0"/>
              <w:adjustRightInd w:val="0"/>
              <w:snapToGrid w:val="0"/>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val="en-US" w:eastAsia="zh-CN"/>
              </w:rPr>
              <w:t>近三年罚款金额（万元）</w:t>
            </w:r>
          </w:p>
        </w:tc>
      </w:tr>
      <w:tr w14:paraId="1E1A8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737" w:type="dxa"/>
            <w:noWrap w:val="0"/>
            <w:vAlign w:val="top"/>
          </w:tcPr>
          <w:p w14:paraId="57112906">
            <w:pPr>
              <w:rPr>
                <w:vertAlign w:val="baseline"/>
              </w:rPr>
            </w:pPr>
            <w:r>
              <w:rPr>
                <w:rFonts w:hint="eastAsia" w:ascii="仿宋_GB2312" w:hAnsi="仿宋_GB2312" w:eastAsia="仿宋_GB2312" w:cs="仿宋_GB2312"/>
                <w:color w:val="000000"/>
                <w:kern w:val="0"/>
                <w:sz w:val="24"/>
                <w:szCs w:val="24"/>
                <w:vertAlign w:val="baseline"/>
                <w:lang w:val="en-US" w:eastAsia="zh-CN"/>
              </w:rPr>
              <w:t>白田镇综合行政执法大队</w:t>
            </w:r>
          </w:p>
        </w:tc>
        <w:tc>
          <w:tcPr>
            <w:tcW w:w="737" w:type="dxa"/>
            <w:noWrap w:val="0"/>
            <w:vAlign w:val="top"/>
          </w:tcPr>
          <w:p w14:paraId="01975DA2">
            <w:pPr>
              <w:rPr>
                <w:rFonts w:hint="default" w:eastAsia="宋体"/>
                <w:vertAlign w:val="baseline"/>
                <w:lang w:val="en-US" w:eastAsia="zh-CN"/>
              </w:rPr>
            </w:pPr>
            <w:r>
              <w:rPr>
                <w:rFonts w:hint="eastAsia" w:ascii="Calibri" w:eastAsia="宋体"/>
                <w:vertAlign w:val="baseline"/>
                <w:lang w:val="en-US" w:eastAsia="zh-CN"/>
              </w:rPr>
              <w:t>1</w:t>
            </w:r>
          </w:p>
        </w:tc>
        <w:tc>
          <w:tcPr>
            <w:tcW w:w="737" w:type="dxa"/>
            <w:noWrap w:val="0"/>
            <w:vAlign w:val="top"/>
          </w:tcPr>
          <w:p w14:paraId="33D21CD6">
            <w:pPr>
              <w:rPr>
                <w:rFonts w:hint="default" w:eastAsia="宋体"/>
                <w:vertAlign w:val="baseline"/>
                <w:lang w:val="en-US" w:eastAsia="zh-CN"/>
              </w:rPr>
            </w:pPr>
            <w:r>
              <w:rPr>
                <w:rFonts w:hint="eastAsia" w:ascii="Calibri" w:eastAsia="宋体"/>
                <w:vertAlign w:val="baseline"/>
                <w:lang w:val="en-US" w:eastAsia="zh-CN"/>
              </w:rPr>
              <w:t>10</w:t>
            </w:r>
          </w:p>
        </w:tc>
        <w:tc>
          <w:tcPr>
            <w:tcW w:w="775" w:type="dxa"/>
            <w:noWrap w:val="0"/>
            <w:vAlign w:val="top"/>
          </w:tcPr>
          <w:p w14:paraId="052AAC93">
            <w:pPr>
              <w:rPr>
                <w:rFonts w:hint="eastAsia" w:eastAsia="宋体"/>
                <w:vertAlign w:val="baseline"/>
                <w:lang w:val="en-US" w:eastAsia="zh-CN"/>
              </w:rPr>
            </w:pPr>
            <w:r>
              <w:rPr>
                <w:rFonts w:hint="eastAsia" w:ascii="Calibri" w:eastAsia="宋体"/>
                <w:vertAlign w:val="baseline"/>
                <w:lang w:val="en-US" w:eastAsia="zh-CN"/>
              </w:rPr>
              <w:t>1</w:t>
            </w:r>
          </w:p>
        </w:tc>
        <w:tc>
          <w:tcPr>
            <w:tcW w:w="776" w:type="dxa"/>
            <w:gridSpan w:val="2"/>
            <w:noWrap w:val="0"/>
            <w:vAlign w:val="top"/>
          </w:tcPr>
          <w:p w14:paraId="3DF42FAB">
            <w:pPr>
              <w:rPr>
                <w:rFonts w:hint="eastAsia" w:eastAsia="宋体"/>
                <w:vertAlign w:val="baseline"/>
                <w:lang w:val="en-US" w:eastAsia="zh-CN"/>
              </w:rPr>
            </w:pPr>
            <w:r>
              <w:rPr>
                <w:rFonts w:hint="eastAsia" w:ascii="Calibri" w:eastAsia="宋体"/>
                <w:vertAlign w:val="baseline"/>
                <w:lang w:val="en-US" w:eastAsia="zh-CN"/>
              </w:rPr>
              <w:t>5</w:t>
            </w:r>
          </w:p>
        </w:tc>
        <w:tc>
          <w:tcPr>
            <w:tcW w:w="492" w:type="dxa"/>
            <w:noWrap w:val="0"/>
            <w:vAlign w:val="top"/>
          </w:tcPr>
          <w:p w14:paraId="4061AE3D">
            <w:pPr>
              <w:rPr>
                <w:rFonts w:hint="eastAsia" w:eastAsia="宋体"/>
                <w:vertAlign w:val="baseline"/>
                <w:lang w:val="en-US" w:eastAsia="zh-CN"/>
              </w:rPr>
            </w:pPr>
            <w:r>
              <w:rPr>
                <w:rFonts w:hint="eastAsia" w:ascii="Calibri" w:eastAsia="宋体"/>
                <w:vertAlign w:val="baseline"/>
                <w:lang w:val="en-US" w:eastAsia="zh-CN"/>
              </w:rPr>
              <w:t>0</w:t>
            </w:r>
          </w:p>
        </w:tc>
        <w:tc>
          <w:tcPr>
            <w:tcW w:w="566" w:type="dxa"/>
            <w:noWrap w:val="0"/>
            <w:vAlign w:val="top"/>
          </w:tcPr>
          <w:p w14:paraId="2CC9B36A">
            <w:pPr>
              <w:rPr>
                <w:rFonts w:hint="eastAsia" w:eastAsia="宋体"/>
                <w:vertAlign w:val="baseline"/>
                <w:lang w:val="en-US" w:eastAsia="zh-CN"/>
              </w:rPr>
            </w:pPr>
            <w:r>
              <w:rPr>
                <w:rFonts w:hint="eastAsia" w:ascii="Calibri" w:eastAsia="宋体"/>
                <w:vertAlign w:val="baseline"/>
                <w:lang w:val="en-US" w:eastAsia="zh-CN"/>
              </w:rPr>
              <w:t>0</w:t>
            </w:r>
          </w:p>
        </w:tc>
        <w:tc>
          <w:tcPr>
            <w:tcW w:w="784" w:type="dxa"/>
            <w:noWrap w:val="0"/>
            <w:vAlign w:val="top"/>
          </w:tcPr>
          <w:p w14:paraId="2AF6E837">
            <w:pPr>
              <w:rPr>
                <w:rFonts w:hint="default" w:eastAsia="宋体"/>
                <w:vertAlign w:val="baseline"/>
                <w:lang w:val="en-US" w:eastAsia="zh-CN"/>
              </w:rPr>
            </w:pPr>
            <w:r>
              <w:rPr>
                <w:rFonts w:hint="eastAsia" w:ascii="Calibri" w:eastAsia="宋体"/>
                <w:vertAlign w:val="baseline"/>
                <w:lang w:val="en-US" w:eastAsia="zh-CN"/>
              </w:rPr>
              <w:t>18</w:t>
            </w:r>
          </w:p>
        </w:tc>
        <w:tc>
          <w:tcPr>
            <w:tcW w:w="950" w:type="dxa"/>
            <w:noWrap w:val="0"/>
            <w:vAlign w:val="top"/>
          </w:tcPr>
          <w:p w14:paraId="6179030A">
            <w:pPr>
              <w:rPr>
                <w:rFonts w:hint="eastAsia" w:eastAsia="宋体"/>
                <w:vertAlign w:val="baseline"/>
                <w:lang w:val="en-US" w:eastAsia="zh-CN"/>
              </w:rPr>
            </w:pPr>
            <w:r>
              <w:rPr>
                <w:rFonts w:hint="eastAsia" w:ascii="Calibri" w:eastAsia="宋体"/>
                <w:vertAlign w:val="baseline"/>
                <w:lang w:val="en-US" w:eastAsia="zh-CN"/>
              </w:rPr>
              <w:t>6</w:t>
            </w:r>
          </w:p>
        </w:tc>
        <w:tc>
          <w:tcPr>
            <w:tcW w:w="766" w:type="dxa"/>
            <w:noWrap w:val="0"/>
            <w:vAlign w:val="top"/>
          </w:tcPr>
          <w:p w14:paraId="23048EA9">
            <w:pPr>
              <w:rPr>
                <w:rFonts w:hint="default" w:eastAsia="宋体"/>
                <w:vertAlign w:val="baseline"/>
                <w:lang w:val="en-US" w:eastAsia="zh-CN"/>
              </w:rPr>
            </w:pPr>
            <w:r>
              <w:rPr>
                <w:rFonts w:hint="eastAsia" w:ascii="Calibri" w:eastAsia="宋体"/>
                <w:vertAlign w:val="baseline"/>
                <w:lang w:val="en-US" w:eastAsia="zh-CN"/>
              </w:rPr>
              <w:t>18</w:t>
            </w:r>
          </w:p>
        </w:tc>
        <w:tc>
          <w:tcPr>
            <w:tcW w:w="750" w:type="dxa"/>
            <w:noWrap w:val="0"/>
            <w:vAlign w:val="top"/>
          </w:tcPr>
          <w:p w14:paraId="618CA91A">
            <w:pPr>
              <w:rPr>
                <w:rFonts w:hint="default" w:eastAsia="宋体"/>
                <w:vertAlign w:val="baseline"/>
                <w:lang w:val="en-US" w:eastAsia="zh-CN"/>
              </w:rPr>
            </w:pPr>
            <w:r>
              <w:rPr>
                <w:rFonts w:hint="eastAsia" w:ascii="Calibri" w:eastAsia="宋体"/>
                <w:vertAlign w:val="baseline"/>
                <w:lang w:val="en-US" w:eastAsia="zh-CN"/>
              </w:rPr>
              <w:t>40</w:t>
            </w:r>
          </w:p>
        </w:tc>
        <w:tc>
          <w:tcPr>
            <w:tcW w:w="884" w:type="dxa"/>
            <w:noWrap w:val="0"/>
            <w:vAlign w:val="top"/>
          </w:tcPr>
          <w:p w14:paraId="68519595">
            <w:pPr>
              <w:rPr>
                <w:rFonts w:hint="eastAsia" w:eastAsia="宋体"/>
                <w:vertAlign w:val="baseline"/>
                <w:lang w:val="en-US" w:eastAsia="zh-CN"/>
              </w:rPr>
            </w:pPr>
            <w:r>
              <w:rPr>
                <w:rFonts w:hint="eastAsia" w:ascii="Calibri" w:eastAsia="宋体"/>
                <w:vertAlign w:val="baseline"/>
                <w:lang w:val="en-US" w:eastAsia="zh-CN"/>
              </w:rPr>
              <w:t>2</w:t>
            </w:r>
          </w:p>
        </w:tc>
        <w:tc>
          <w:tcPr>
            <w:tcW w:w="750" w:type="dxa"/>
            <w:noWrap w:val="0"/>
            <w:vAlign w:val="top"/>
          </w:tcPr>
          <w:p w14:paraId="567593D1">
            <w:pPr>
              <w:rPr>
                <w:rFonts w:hint="eastAsia" w:eastAsia="宋体"/>
                <w:vertAlign w:val="baseline"/>
                <w:lang w:val="en-US" w:eastAsia="zh-CN"/>
              </w:rPr>
            </w:pPr>
            <w:r>
              <w:rPr>
                <w:rFonts w:hint="eastAsia" w:ascii="Calibri" w:eastAsia="宋体"/>
                <w:vertAlign w:val="baseline"/>
                <w:lang w:val="en-US" w:eastAsia="zh-CN"/>
              </w:rPr>
              <w:t>0</w:t>
            </w:r>
          </w:p>
        </w:tc>
        <w:tc>
          <w:tcPr>
            <w:tcW w:w="750" w:type="dxa"/>
            <w:noWrap w:val="0"/>
            <w:vAlign w:val="top"/>
          </w:tcPr>
          <w:p w14:paraId="28A5F017">
            <w:pPr>
              <w:rPr>
                <w:rFonts w:hint="eastAsia" w:eastAsia="宋体"/>
                <w:vertAlign w:val="baseline"/>
                <w:lang w:val="en-US" w:eastAsia="zh-CN"/>
              </w:rPr>
            </w:pPr>
            <w:r>
              <w:rPr>
                <w:rFonts w:hint="eastAsia" w:ascii="Calibri" w:eastAsia="宋体"/>
                <w:vertAlign w:val="baseline"/>
                <w:lang w:val="en-US" w:eastAsia="zh-CN"/>
              </w:rPr>
              <w:t>3</w:t>
            </w:r>
          </w:p>
        </w:tc>
        <w:tc>
          <w:tcPr>
            <w:tcW w:w="833" w:type="dxa"/>
            <w:noWrap w:val="0"/>
            <w:vAlign w:val="top"/>
          </w:tcPr>
          <w:p w14:paraId="3F1B8F6D">
            <w:pPr>
              <w:rPr>
                <w:rFonts w:hint="eastAsia" w:eastAsia="宋体"/>
                <w:vertAlign w:val="baseline"/>
                <w:lang w:val="en-US" w:eastAsia="zh-CN"/>
              </w:rPr>
            </w:pPr>
            <w:r>
              <w:rPr>
                <w:rFonts w:hint="eastAsia" w:ascii="Calibri" w:eastAsia="宋体"/>
                <w:vertAlign w:val="baseline"/>
                <w:lang w:val="en-US" w:eastAsia="zh-CN"/>
              </w:rPr>
              <w:t>0</w:t>
            </w:r>
          </w:p>
        </w:tc>
        <w:tc>
          <w:tcPr>
            <w:tcW w:w="867" w:type="dxa"/>
            <w:noWrap w:val="0"/>
            <w:vAlign w:val="top"/>
          </w:tcPr>
          <w:p w14:paraId="521EBACA">
            <w:pPr>
              <w:rPr>
                <w:rFonts w:hint="eastAsia" w:eastAsia="宋体"/>
                <w:vertAlign w:val="baseline"/>
                <w:lang w:val="en-US" w:eastAsia="zh-CN"/>
              </w:rPr>
            </w:pPr>
            <w:r>
              <w:rPr>
                <w:rFonts w:hint="eastAsia" w:ascii="Calibri" w:eastAsia="宋体"/>
                <w:vertAlign w:val="baseline"/>
                <w:lang w:val="en-US" w:eastAsia="zh-CN"/>
              </w:rPr>
              <w:t>0</w:t>
            </w:r>
          </w:p>
        </w:tc>
        <w:tc>
          <w:tcPr>
            <w:tcW w:w="700" w:type="dxa"/>
            <w:noWrap w:val="0"/>
            <w:vAlign w:val="top"/>
          </w:tcPr>
          <w:p w14:paraId="5F68B353">
            <w:pPr>
              <w:rPr>
                <w:rFonts w:hint="eastAsia" w:eastAsia="宋体"/>
                <w:vertAlign w:val="baseline"/>
                <w:lang w:val="en-US" w:eastAsia="zh-CN"/>
              </w:rPr>
            </w:pPr>
            <w:r>
              <w:rPr>
                <w:rFonts w:hint="eastAsia" w:ascii="Calibri" w:eastAsia="宋体"/>
                <w:vertAlign w:val="baseline"/>
                <w:lang w:val="en-US" w:eastAsia="zh-CN"/>
              </w:rPr>
              <w:t>0</w:t>
            </w:r>
          </w:p>
        </w:tc>
        <w:tc>
          <w:tcPr>
            <w:tcW w:w="750" w:type="dxa"/>
            <w:noWrap w:val="0"/>
            <w:vAlign w:val="top"/>
          </w:tcPr>
          <w:p w14:paraId="30B0DA97">
            <w:pPr>
              <w:rPr>
                <w:rFonts w:hint="eastAsia" w:eastAsia="宋体"/>
                <w:vertAlign w:val="baseline"/>
                <w:lang w:val="en-US" w:eastAsia="zh-CN"/>
              </w:rPr>
            </w:pPr>
            <w:r>
              <w:rPr>
                <w:rFonts w:hint="eastAsia" w:ascii="Calibri" w:eastAsia="宋体"/>
                <w:vertAlign w:val="baseline"/>
                <w:lang w:val="en-US" w:eastAsia="zh-CN"/>
              </w:rPr>
              <w:t>0</w:t>
            </w:r>
          </w:p>
        </w:tc>
        <w:tc>
          <w:tcPr>
            <w:tcW w:w="1050" w:type="dxa"/>
            <w:noWrap w:val="0"/>
            <w:vAlign w:val="top"/>
          </w:tcPr>
          <w:p w14:paraId="1E866F47">
            <w:pPr>
              <w:rPr>
                <w:rFonts w:hint="default" w:eastAsia="宋体"/>
                <w:vertAlign w:val="baseline"/>
                <w:lang w:val="en-US" w:eastAsia="zh-CN"/>
              </w:rPr>
            </w:pPr>
            <w:r>
              <w:rPr>
                <w:rFonts w:hint="eastAsia" w:ascii="Calibri" w:eastAsia="宋体"/>
                <w:vertAlign w:val="baseline"/>
                <w:lang w:val="en-US" w:eastAsia="zh-CN"/>
              </w:rPr>
              <w:t>0</w:t>
            </w:r>
          </w:p>
        </w:tc>
      </w:tr>
    </w:tbl>
    <w:p w14:paraId="756C4C51">
      <w:pPr>
        <w:widowControl/>
        <w:spacing w:line="280" w:lineRule="exact"/>
        <w:jc w:val="both"/>
        <w:rPr>
          <w:rFonts w:hint="eastAsia" w:ascii="仿宋_GB2312" w:hAnsi="仿宋_GB2312" w:eastAsia="仿宋_GB2312" w:cs="仿宋_GB2312"/>
          <w:color w:val="000000"/>
          <w:kern w:val="0"/>
          <w:sz w:val="24"/>
          <w:szCs w:val="24"/>
          <w:lang w:eastAsia="zh-CN"/>
        </w:rPr>
      </w:pPr>
    </w:p>
    <w:p w14:paraId="180D5D3F">
      <w:pPr>
        <w:widowControl/>
        <w:spacing w:line="280" w:lineRule="exact"/>
        <w:jc w:val="both"/>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eastAsia="zh-CN"/>
        </w:rPr>
        <w:t>填表说明：</w:t>
      </w:r>
      <w:r>
        <w:rPr>
          <w:rFonts w:hint="eastAsia" w:ascii="仿宋_GB2312" w:hAnsi="仿宋_GB2312" w:eastAsia="仿宋_GB2312" w:cs="仿宋_GB2312"/>
          <w:color w:val="000000"/>
          <w:kern w:val="0"/>
          <w:sz w:val="24"/>
          <w:szCs w:val="24"/>
          <w:lang w:val="en-US" w:eastAsia="zh-CN"/>
        </w:rPr>
        <w:t>1.行政执法监督及法制审核人数为实有在岗人数。</w:t>
      </w:r>
    </w:p>
    <w:p w14:paraId="74890176">
      <w:pPr>
        <w:widowControl/>
        <w:spacing w:line="280" w:lineRule="exact"/>
        <w:ind w:firstLine="1200" w:firstLineChars="500"/>
        <w:jc w:val="both"/>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r>
        <w:rPr>
          <w:rFonts w:hint="eastAsia" w:ascii="仿宋_GB2312" w:hAnsi="仿宋_GB2312" w:eastAsia="仿宋_GB2312" w:cs="仿宋_GB2312"/>
          <w:color w:val="000000"/>
          <w:kern w:val="0"/>
          <w:sz w:val="24"/>
          <w:szCs w:val="24"/>
          <w:lang w:eastAsia="zh-CN"/>
        </w:rPr>
        <w:t>本部门执法证持有人数</w:t>
      </w:r>
      <w:r>
        <w:rPr>
          <w:rFonts w:hint="eastAsia" w:ascii="仿宋_GB2312" w:hAnsi="仿宋_GB2312" w:eastAsia="仿宋_GB2312" w:cs="仿宋_GB2312"/>
          <w:color w:val="000000"/>
          <w:kern w:val="0"/>
          <w:sz w:val="24"/>
          <w:szCs w:val="24"/>
          <w:lang w:val="en-US" w:eastAsia="zh-CN"/>
        </w:rPr>
        <w:t>”包含本部门二级行政执法机构持证人数。</w:t>
      </w:r>
    </w:p>
    <w:p w14:paraId="67440538">
      <w:pPr>
        <w:widowControl/>
        <w:numPr>
          <w:ilvl w:val="0"/>
          <w:numId w:val="0"/>
        </w:numPr>
        <w:spacing w:line="280" w:lineRule="exact"/>
        <w:ind w:left="1437" w:leftChars="570" w:hanging="240" w:hangingChars="100"/>
        <w:jc w:val="both"/>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r>
        <w:rPr>
          <w:rFonts w:hint="eastAsia" w:ascii="仿宋_GB2312" w:hAnsi="仿宋_GB2312" w:eastAsia="仿宋_GB2312" w:cs="仿宋_GB2312"/>
          <w:color w:val="000000"/>
          <w:kern w:val="0"/>
          <w:sz w:val="24"/>
          <w:szCs w:val="24"/>
          <w:lang w:eastAsia="zh-CN"/>
        </w:rPr>
        <w:t>综合行政执法大队拥有执法资格证人数</w:t>
      </w:r>
      <w:r>
        <w:rPr>
          <w:rFonts w:hint="eastAsia" w:ascii="仿宋_GB2312" w:hAnsi="仿宋_GB2312" w:eastAsia="仿宋_GB2312" w:cs="仿宋_GB2312"/>
          <w:color w:val="000000"/>
          <w:kern w:val="0"/>
          <w:sz w:val="24"/>
          <w:szCs w:val="24"/>
          <w:lang w:val="en-US" w:eastAsia="zh-CN"/>
        </w:rPr>
        <w:t>”指单独设立的行政执法机构（如支队、乡镇综合执法大队等），未单独设立执法机构，则不填。</w:t>
      </w:r>
    </w:p>
    <w:p w14:paraId="6732B179">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方正黑体_GBK" w:hAnsi="方正黑体_GBK" w:eastAsia="方正黑体_GBK" w:cs="方正黑体_GBK"/>
          <w:sz w:val="32"/>
          <w:szCs w:val="40"/>
          <w:lang w:val="en-US" w:eastAsia="zh-CN"/>
        </w:rPr>
      </w:pPr>
      <w:r>
        <w:rPr>
          <w:rFonts w:hint="default" w:ascii="仿宋_GB2312" w:hAnsi="仿宋_GB2312" w:eastAsia="仿宋_GB2312" w:cs="仿宋_GB2312"/>
          <w:sz w:val="32"/>
          <w:szCs w:val="32"/>
          <w:lang w:val="en-US" w:eastAsia="zh-CN"/>
        </w:rPr>
        <w:br w:type="page"/>
      </w:r>
      <w:r>
        <w:rPr>
          <w:rFonts w:hint="eastAsia" w:ascii="黑体" w:hAnsi="黑体" w:eastAsia="黑体" w:cs="黑体"/>
          <w:b w:val="0"/>
          <w:bCs w:val="0"/>
          <w:spacing w:val="-11"/>
          <w:sz w:val="32"/>
          <w:szCs w:val="32"/>
          <w:lang w:val="en-US" w:eastAsia="zh-CN"/>
        </w:rPr>
        <w:t>附件4</w:t>
      </w:r>
    </w:p>
    <w:p w14:paraId="2BB8F7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2025年“两法衔接”工作情况统计表</w:t>
      </w:r>
    </w:p>
    <w:p w14:paraId="615485E5">
      <w:pPr>
        <w:keepNext w:val="0"/>
        <w:keepLines w:val="0"/>
        <w:pageBreakBefore w:val="0"/>
        <w:wordWrap/>
        <w:overflowPunct/>
        <w:topLinePunct w:val="0"/>
        <w:bidi w:val="0"/>
        <w:spacing w:line="400" w:lineRule="exact"/>
        <w:ind w:firstLine="270" w:firstLineChars="100"/>
        <w:rPr>
          <w:rFonts w:hint="eastAsia" w:ascii="楷体_GB2312" w:hAnsi="楷体_GB2312" w:eastAsia="楷体_GB2312" w:cs="楷体_GB2312"/>
          <w:spacing w:val="-15"/>
          <w:sz w:val="30"/>
          <w:szCs w:val="30"/>
          <w:lang w:eastAsia="zh-CN"/>
        </w:rPr>
      </w:pPr>
    </w:p>
    <w:p w14:paraId="7A72DD9B">
      <w:pPr>
        <w:keepNext w:val="0"/>
        <w:keepLines w:val="0"/>
        <w:pageBreakBefore w:val="0"/>
        <w:wordWrap/>
        <w:overflowPunct/>
        <w:topLinePunct w:val="0"/>
        <w:bidi w:val="0"/>
        <w:spacing w:line="400" w:lineRule="exact"/>
        <w:ind w:firstLine="270" w:firstLineChars="100"/>
        <w:rPr>
          <w:rFonts w:hint="eastAsia" w:ascii="方正小标宋简体" w:hAnsi="方正小标宋简体" w:eastAsia="方正小标宋简体" w:cs="方正小标宋简体"/>
          <w:sz w:val="44"/>
          <w:szCs w:val="52"/>
          <w:lang w:val="en-US" w:eastAsia="zh-CN"/>
        </w:rPr>
      </w:pPr>
      <w:r>
        <w:rPr>
          <w:rFonts w:hint="eastAsia" w:ascii="楷体_GB2312" w:hAnsi="楷体_GB2312" w:eastAsia="楷体_GB2312" w:cs="楷体_GB2312"/>
          <w:spacing w:val="-15"/>
          <w:sz w:val="30"/>
          <w:szCs w:val="30"/>
          <w:lang w:eastAsia="zh-CN"/>
        </w:rPr>
        <w:t>填报</w:t>
      </w:r>
      <w:r>
        <w:rPr>
          <w:rFonts w:hint="eastAsia" w:ascii="楷体_GB2312" w:hAnsi="楷体_GB2312" w:eastAsia="楷体_GB2312" w:cs="楷体_GB2312"/>
          <w:spacing w:val="-15"/>
          <w:sz w:val="30"/>
          <w:szCs w:val="30"/>
        </w:rPr>
        <w:t xml:space="preserve">单位：(盖章) </w:t>
      </w:r>
      <w:r>
        <w:rPr>
          <w:rFonts w:hint="eastAsia" w:ascii="楷体_GB2312" w:hAnsi="楷体_GB2312" w:eastAsia="楷体_GB2312" w:cs="楷体_GB2312"/>
          <w:spacing w:val="-15"/>
          <w:sz w:val="30"/>
          <w:szCs w:val="30"/>
          <w:lang w:eastAsia="zh-CN"/>
        </w:rPr>
        <w:t xml:space="preserve">                                 </w:t>
      </w:r>
      <w:r>
        <w:rPr>
          <w:rFonts w:hint="eastAsia" w:ascii="楷体_GB2312" w:hAnsi="楷体_GB2312" w:eastAsia="楷体_GB2312" w:cs="楷体_GB2312"/>
          <w:spacing w:val="-15"/>
          <w:sz w:val="30"/>
          <w:szCs w:val="30"/>
        </w:rPr>
        <w:t>联系人和联系方式：</w:t>
      </w:r>
      <w:r>
        <w:rPr>
          <w:rFonts w:hint="eastAsia" w:ascii="楷体_GB2312" w:hAnsi="楷体_GB2312" w:eastAsia="楷体_GB2312" w:cs="楷体_GB2312"/>
          <w:spacing w:val="-15"/>
          <w:sz w:val="30"/>
          <w:szCs w:val="30"/>
          <w:lang w:val="en-US" w:eastAsia="zh-CN"/>
        </w:rPr>
        <w:t>刘卓13787321953</w:t>
      </w:r>
    </w:p>
    <w:tbl>
      <w:tblPr>
        <w:tblStyle w:val="5"/>
        <w:tblW w:w="13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6"/>
        <w:gridCol w:w="1373"/>
        <w:gridCol w:w="1340"/>
        <w:gridCol w:w="1349"/>
        <w:gridCol w:w="1396"/>
        <w:gridCol w:w="1369"/>
        <w:gridCol w:w="1575"/>
        <w:gridCol w:w="1575"/>
        <w:gridCol w:w="1681"/>
      </w:tblGrid>
      <w:tr w14:paraId="1C71A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146" w:type="dxa"/>
            <w:vMerge w:val="restart"/>
            <w:noWrap w:val="0"/>
            <w:vAlign w:val="center"/>
          </w:tcPr>
          <w:p w14:paraId="1FD974A7">
            <w:pPr>
              <w:jc w:val="center"/>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行政执法单位名称</w:t>
            </w:r>
          </w:p>
        </w:tc>
        <w:tc>
          <w:tcPr>
            <w:tcW w:w="1373" w:type="dxa"/>
            <w:vMerge w:val="restart"/>
            <w:noWrap w:val="0"/>
            <w:vAlign w:val="center"/>
          </w:tcPr>
          <w:p w14:paraId="6C2F0061">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是否使用“两法衔接平台”</w:t>
            </w:r>
          </w:p>
        </w:tc>
        <w:tc>
          <w:tcPr>
            <w:tcW w:w="5454" w:type="dxa"/>
            <w:gridSpan w:val="4"/>
            <w:noWrap w:val="0"/>
            <w:vAlign w:val="center"/>
          </w:tcPr>
          <w:p w14:paraId="7D26DFB3">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正向衔接</w:t>
            </w:r>
          </w:p>
        </w:tc>
        <w:tc>
          <w:tcPr>
            <w:tcW w:w="4831" w:type="dxa"/>
            <w:gridSpan w:val="3"/>
            <w:noWrap w:val="0"/>
            <w:vAlign w:val="center"/>
          </w:tcPr>
          <w:p w14:paraId="119E38F4">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反向衔接</w:t>
            </w:r>
          </w:p>
        </w:tc>
      </w:tr>
      <w:tr w14:paraId="3D89D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146" w:type="dxa"/>
            <w:vMerge w:val="continue"/>
            <w:noWrap w:val="0"/>
            <w:vAlign w:val="center"/>
          </w:tcPr>
          <w:p w14:paraId="157AE983">
            <w:pPr>
              <w:jc w:val="center"/>
              <w:rPr>
                <w:rFonts w:hint="eastAsia" w:ascii="仿宋_GB2312" w:hAnsi="仿宋_GB2312" w:eastAsia="仿宋_GB2312" w:cs="仿宋_GB2312"/>
                <w:kern w:val="2"/>
                <w:sz w:val="24"/>
                <w:szCs w:val="32"/>
                <w:vertAlign w:val="baseline"/>
                <w:lang w:val="en-US" w:eastAsia="zh-CN" w:bidi="ar-SA"/>
              </w:rPr>
            </w:pPr>
          </w:p>
        </w:tc>
        <w:tc>
          <w:tcPr>
            <w:tcW w:w="1373" w:type="dxa"/>
            <w:vMerge w:val="continue"/>
            <w:noWrap w:val="0"/>
            <w:vAlign w:val="center"/>
          </w:tcPr>
          <w:p w14:paraId="10FA0525">
            <w:pPr>
              <w:jc w:val="center"/>
              <w:rPr>
                <w:rFonts w:hint="eastAsia" w:ascii="仿宋_GB2312" w:hAnsi="仿宋_GB2312" w:eastAsia="仿宋_GB2312" w:cs="仿宋_GB2312"/>
                <w:sz w:val="24"/>
                <w:szCs w:val="32"/>
                <w:vertAlign w:val="baseline"/>
                <w:lang w:val="en-US" w:eastAsia="zh-CN"/>
              </w:rPr>
            </w:pPr>
          </w:p>
        </w:tc>
        <w:tc>
          <w:tcPr>
            <w:tcW w:w="1340" w:type="dxa"/>
            <w:noWrap w:val="0"/>
            <w:vAlign w:val="center"/>
          </w:tcPr>
          <w:p w14:paraId="788AFE53">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移送案件数（件）</w:t>
            </w:r>
          </w:p>
        </w:tc>
        <w:tc>
          <w:tcPr>
            <w:tcW w:w="1349" w:type="dxa"/>
            <w:noWrap w:val="0"/>
            <w:vAlign w:val="center"/>
          </w:tcPr>
          <w:p w14:paraId="5263991B">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刑事</w:t>
            </w:r>
          </w:p>
          <w:p w14:paraId="45E75C24">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立案数</w:t>
            </w:r>
          </w:p>
        </w:tc>
        <w:tc>
          <w:tcPr>
            <w:tcW w:w="1396" w:type="dxa"/>
            <w:noWrap w:val="0"/>
            <w:vAlign w:val="center"/>
          </w:tcPr>
          <w:p w14:paraId="35C29BBF">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刑事不予</w:t>
            </w:r>
          </w:p>
          <w:p w14:paraId="7531EA61">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立案数</w:t>
            </w:r>
          </w:p>
        </w:tc>
        <w:tc>
          <w:tcPr>
            <w:tcW w:w="1369" w:type="dxa"/>
            <w:noWrap w:val="0"/>
            <w:vAlign w:val="center"/>
          </w:tcPr>
          <w:p w14:paraId="13A7871A">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不予起诉案件数</w:t>
            </w:r>
          </w:p>
        </w:tc>
        <w:tc>
          <w:tcPr>
            <w:tcW w:w="1575" w:type="dxa"/>
            <w:noWrap w:val="0"/>
            <w:vAlign w:val="center"/>
          </w:tcPr>
          <w:p w14:paraId="76DFAB3E">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反向衔接</w:t>
            </w:r>
          </w:p>
          <w:p w14:paraId="2B81BF9C">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受案数</w:t>
            </w:r>
          </w:p>
        </w:tc>
        <w:tc>
          <w:tcPr>
            <w:tcW w:w="1575" w:type="dxa"/>
            <w:noWrap w:val="0"/>
            <w:vAlign w:val="center"/>
          </w:tcPr>
          <w:p w14:paraId="2EEAC812">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行政处罚</w:t>
            </w:r>
          </w:p>
          <w:p w14:paraId="488B7DDD">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立案数</w:t>
            </w:r>
          </w:p>
        </w:tc>
        <w:tc>
          <w:tcPr>
            <w:tcW w:w="1681" w:type="dxa"/>
            <w:noWrap w:val="0"/>
            <w:vAlign w:val="center"/>
          </w:tcPr>
          <w:p w14:paraId="75FFA555">
            <w:pPr>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不予行政处罚案件数</w:t>
            </w:r>
          </w:p>
        </w:tc>
      </w:tr>
      <w:tr w14:paraId="618B9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6" w:type="dxa"/>
            <w:noWrap w:val="0"/>
            <w:vAlign w:val="top"/>
          </w:tcPr>
          <w:p w14:paraId="1ECB0941">
            <w:pPr>
              <w:jc w:val="both"/>
              <w:rPr>
                <w:rFonts w:hint="eastAsia" w:ascii="仿宋_GB2312" w:hAnsi="仿宋_GB2312" w:eastAsia="仿宋_GB2312" w:cs="仿宋_GB2312"/>
                <w:sz w:val="28"/>
                <w:szCs w:val="36"/>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白田镇综合行政执法大队</w:t>
            </w:r>
          </w:p>
        </w:tc>
        <w:tc>
          <w:tcPr>
            <w:tcW w:w="1373" w:type="dxa"/>
            <w:noWrap w:val="0"/>
            <w:vAlign w:val="top"/>
          </w:tcPr>
          <w:p w14:paraId="49C4864A">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否</w:t>
            </w:r>
          </w:p>
        </w:tc>
        <w:tc>
          <w:tcPr>
            <w:tcW w:w="1340" w:type="dxa"/>
            <w:noWrap w:val="0"/>
            <w:vAlign w:val="top"/>
          </w:tcPr>
          <w:p w14:paraId="3099F176">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349" w:type="dxa"/>
            <w:noWrap w:val="0"/>
            <w:vAlign w:val="top"/>
          </w:tcPr>
          <w:p w14:paraId="7D1DB4CE">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396" w:type="dxa"/>
            <w:noWrap w:val="0"/>
            <w:vAlign w:val="top"/>
          </w:tcPr>
          <w:p w14:paraId="1CA4C538">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369" w:type="dxa"/>
            <w:noWrap w:val="0"/>
            <w:vAlign w:val="top"/>
          </w:tcPr>
          <w:p w14:paraId="4917BCC8">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575" w:type="dxa"/>
            <w:noWrap w:val="0"/>
            <w:vAlign w:val="top"/>
          </w:tcPr>
          <w:p w14:paraId="0DEF9DD8">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575" w:type="dxa"/>
            <w:noWrap w:val="0"/>
            <w:vAlign w:val="top"/>
          </w:tcPr>
          <w:p w14:paraId="31CF422F">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c>
          <w:tcPr>
            <w:tcW w:w="1681" w:type="dxa"/>
            <w:noWrap w:val="0"/>
            <w:vAlign w:val="top"/>
          </w:tcPr>
          <w:p w14:paraId="657C7D85">
            <w:pPr>
              <w:jc w:val="both"/>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0</w:t>
            </w:r>
          </w:p>
        </w:tc>
      </w:tr>
    </w:tbl>
    <w:p w14:paraId="39D533BE">
      <w:pPr>
        <w:jc w:val="both"/>
        <w:rPr>
          <w:rFonts w:hint="eastAsia" w:ascii="仿宋_GB2312" w:hAnsi="仿宋_GB2312" w:eastAsia="仿宋_GB2312" w:cs="仿宋_GB2312"/>
          <w:sz w:val="28"/>
          <w:szCs w:val="28"/>
          <w:lang w:val="en-US" w:eastAsia="zh-CN"/>
        </w:rPr>
      </w:pPr>
    </w:p>
    <w:p w14:paraId="4B6E5A6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注：1.“刑事不予立案数”以行政执法机关收到公安机关不予立案文书为准。</w:t>
      </w:r>
    </w:p>
    <w:p w14:paraId="224D5A2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2.“不予起诉案件数”以行政执法机关收到检察机关不予起诉、检察建议为准。</w:t>
      </w:r>
    </w:p>
    <w:p w14:paraId="2C5F512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3.“反向衔接受案数”以行政执法机关收到检察建议、司法建议为准。</w:t>
      </w:r>
    </w:p>
    <w:p w14:paraId="70DE9A7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4.同一检察建议、司法建议涉及多个行政执法案件线索或问题的，应当予以累计。</w:t>
      </w:r>
    </w:p>
    <w:p w14:paraId="705B5D2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5.“移送案件数”应当大于等于“刑事立案数”“刑事不予立案数”“不予起诉案件数”之和。</w:t>
      </w:r>
    </w:p>
    <w:p w14:paraId="06B8C9D4">
      <w:pPr>
        <w:keepNext w:val="0"/>
        <w:keepLines w:val="0"/>
        <w:pageBreakBefore w:val="0"/>
        <w:widowControl w:val="0"/>
        <w:kinsoku/>
        <w:wordWrap/>
        <w:overflowPunct/>
        <w:topLinePunct w:val="0"/>
        <w:autoSpaceDE/>
        <w:autoSpaceDN/>
        <w:bidi w:val="0"/>
        <w:adjustRightInd/>
        <w:snapToGrid/>
        <w:spacing w:line="300" w:lineRule="exact"/>
        <w:ind w:firstLine="56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6.“反向衔接受案数”应当大于等于“行政处罚立案数”“不予行政处罚案件数”。</w:t>
      </w:r>
    </w:p>
    <w:p w14:paraId="244A73BC">
      <w:pPr>
        <w:pStyle w:val="10"/>
        <w:keepNext w:val="0"/>
        <w:keepLines w:val="0"/>
        <w:pageBreakBefore w:val="0"/>
        <w:widowControl w:val="0"/>
        <w:kinsoku/>
        <w:wordWrap/>
        <w:overflowPunct/>
        <w:topLinePunct w:val="0"/>
        <w:autoSpaceDE/>
        <w:autoSpaceDN/>
        <w:bidi w:val="0"/>
        <w:adjustRightInd w:val="0"/>
        <w:snapToGrid w:val="0"/>
        <w:spacing w:line="576" w:lineRule="exact"/>
        <w:jc w:val="both"/>
        <w:textAlignment w:val="auto"/>
        <w:rPr>
          <w:rFonts w:hint="default" w:ascii="方正小标宋_GBK" w:eastAsia="方正小标宋_GBK"/>
          <w:sz w:val="44"/>
          <w:szCs w:val="44"/>
          <w:lang w:val="en-US"/>
        </w:rPr>
      </w:pPr>
      <w:r>
        <w:rPr>
          <w:rStyle w:val="7"/>
          <w:rFonts w:hint="default" w:ascii="仿宋_GB2312" w:hAnsi="仿宋_GB2312" w:eastAsia="仿宋_GB2312" w:cs="仿宋_GB2312"/>
          <w:color w:val="auto"/>
          <w:w w:val="95"/>
          <w:kern w:val="2"/>
          <w:sz w:val="32"/>
          <w:szCs w:val="40"/>
          <w:u w:val="none"/>
          <w:lang w:val="en-US" w:eastAsia="zh-CN"/>
        </w:rPr>
        <w:br w:type="page"/>
      </w:r>
      <w:r>
        <w:rPr>
          <w:rFonts w:hint="eastAsia" w:ascii="黑体" w:hAnsi="黑体" w:eastAsia="黑体" w:cs="黑体"/>
          <w:b w:val="0"/>
          <w:bCs w:val="0"/>
          <w:spacing w:val="-11"/>
          <w:kern w:val="2"/>
          <w:sz w:val="32"/>
          <w:szCs w:val="32"/>
          <w:lang w:val="en-US" w:eastAsia="zh-CN" w:bidi="ar-SA"/>
        </w:rPr>
        <w:t>附件5</w:t>
      </w:r>
      <w:bookmarkStart w:id="0" w:name="_GoBack"/>
      <w:bookmarkEnd w:id="0"/>
    </w:p>
    <w:p w14:paraId="7F6F0204">
      <w:pPr>
        <w:pStyle w:val="10"/>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202</w:t>
      </w:r>
      <w:r>
        <w:rPr>
          <w:rFonts w:hint="eastAsia" w:ascii="方正小标宋_GBK" w:eastAsia="方正小标宋_GBK"/>
          <w:sz w:val="44"/>
          <w:szCs w:val="44"/>
          <w:lang w:val="en-US" w:eastAsia="zh-CN"/>
        </w:rPr>
        <w:t>5</w:t>
      </w:r>
      <w:r>
        <w:rPr>
          <w:rFonts w:hint="eastAsia" w:ascii="方正小标宋_GBK" w:eastAsia="方正小标宋_GBK"/>
          <w:sz w:val="44"/>
          <w:szCs w:val="44"/>
        </w:rPr>
        <w:t>年</w:t>
      </w:r>
      <w:r>
        <w:rPr>
          <w:rFonts w:hint="eastAsia" w:ascii="方正小标宋_GBK" w:eastAsia="方正小标宋_GBK"/>
          <w:sz w:val="44"/>
          <w:szCs w:val="44"/>
          <w:lang w:eastAsia="zh-CN"/>
        </w:rPr>
        <w:t>规范涉企行政执法专项行动工作</w:t>
      </w:r>
      <w:r>
        <w:rPr>
          <w:rFonts w:hint="eastAsia" w:ascii="方正小标宋_GBK" w:eastAsia="方正小标宋_GBK"/>
          <w:sz w:val="44"/>
          <w:szCs w:val="44"/>
        </w:rPr>
        <w:t>统计表</w:t>
      </w:r>
    </w:p>
    <w:p w14:paraId="75E93D90">
      <w:pPr>
        <w:keepNext w:val="0"/>
        <w:keepLines w:val="0"/>
        <w:pageBreakBefore w:val="0"/>
        <w:wordWrap/>
        <w:overflowPunct/>
        <w:topLinePunct w:val="0"/>
        <w:bidi w:val="0"/>
        <w:spacing w:line="400" w:lineRule="exact"/>
        <w:ind w:firstLine="270" w:firstLineChars="100"/>
        <w:rPr>
          <w:rFonts w:hint="eastAsia" w:ascii="楷体_GB2312" w:hAnsi="楷体_GB2312" w:eastAsia="楷体_GB2312" w:cs="楷体_GB2312"/>
          <w:spacing w:val="-15"/>
          <w:sz w:val="30"/>
          <w:szCs w:val="30"/>
          <w:lang w:eastAsia="zh-CN"/>
        </w:rPr>
      </w:pPr>
    </w:p>
    <w:p w14:paraId="74FFAE60">
      <w:pPr>
        <w:keepNext w:val="0"/>
        <w:keepLines w:val="0"/>
        <w:pageBreakBefore w:val="0"/>
        <w:wordWrap/>
        <w:overflowPunct/>
        <w:topLinePunct w:val="0"/>
        <w:bidi w:val="0"/>
        <w:spacing w:line="400" w:lineRule="exact"/>
        <w:ind w:firstLine="270" w:firstLineChars="100"/>
        <w:rPr>
          <w:rFonts w:hint="eastAsia" w:ascii="方正小标宋_GBK" w:eastAsia="方正小标宋_GBK"/>
          <w:sz w:val="44"/>
          <w:szCs w:val="44"/>
        </w:rPr>
      </w:pPr>
      <w:r>
        <w:rPr>
          <w:rFonts w:hint="eastAsia" w:ascii="楷体_GB2312" w:hAnsi="楷体_GB2312" w:eastAsia="楷体_GB2312" w:cs="楷体_GB2312"/>
          <w:spacing w:val="-15"/>
          <w:sz w:val="30"/>
          <w:szCs w:val="30"/>
          <w:lang w:eastAsia="zh-CN"/>
        </w:rPr>
        <w:t>填报</w:t>
      </w:r>
      <w:r>
        <w:rPr>
          <w:rFonts w:hint="eastAsia" w:ascii="楷体_GB2312" w:hAnsi="楷体_GB2312" w:eastAsia="楷体_GB2312" w:cs="楷体_GB2312"/>
          <w:spacing w:val="-15"/>
          <w:sz w:val="30"/>
          <w:szCs w:val="30"/>
        </w:rPr>
        <w:t xml:space="preserve">单位：(盖章) </w:t>
      </w:r>
      <w:r>
        <w:rPr>
          <w:rFonts w:hint="eastAsia" w:ascii="楷体_GB2312" w:hAnsi="楷体_GB2312" w:eastAsia="楷体_GB2312" w:cs="楷体_GB2312"/>
          <w:spacing w:val="-15"/>
          <w:sz w:val="30"/>
          <w:szCs w:val="30"/>
          <w:lang w:eastAsia="zh-CN"/>
        </w:rPr>
        <w:t xml:space="preserve">                                 </w:t>
      </w:r>
      <w:r>
        <w:rPr>
          <w:rFonts w:hint="eastAsia" w:ascii="楷体_GB2312" w:hAnsi="楷体_GB2312" w:eastAsia="楷体_GB2312" w:cs="楷体_GB2312"/>
          <w:spacing w:val="-15"/>
          <w:sz w:val="30"/>
          <w:szCs w:val="30"/>
        </w:rPr>
        <w:t>联系人和联系方式：</w:t>
      </w:r>
    </w:p>
    <w:tbl>
      <w:tblPr>
        <w:tblStyle w:val="5"/>
        <w:tblW w:w="13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97"/>
        <w:gridCol w:w="1417"/>
        <w:gridCol w:w="1417"/>
        <w:gridCol w:w="1644"/>
        <w:gridCol w:w="1417"/>
        <w:gridCol w:w="1417"/>
        <w:gridCol w:w="1417"/>
        <w:gridCol w:w="1417"/>
        <w:gridCol w:w="1417"/>
      </w:tblGrid>
      <w:tr w14:paraId="56667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134" w:type="dxa"/>
            <w:noWrap w:val="0"/>
            <w:vAlign w:val="top"/>
          </w:tcPr>
          <w:p w14:paraId="588E7B35">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行政执法单位名称</w:t>
            </w:r>
          </w:p>
        </w:tc>
        <w:tc>
          <w:tcPr>
            <w:tcW w:w="1197" w:type="dxa"/>
            <w:noWrap w:val="0"/>
            <w:vAlign w:val="top"/>
          </w:tcPr>
          <w:p w14:paraId="5CDC2508">
            <w:pPr>
              <w:widowControl/>
              <w:spacing w:line="280" w:lineRule="exact"/>
              <w:jc w:val="both"/>
              <w:rPr>
                <w:rFonts w:hint="eastAsia" w:ascii="仿宋_GB2312" w:hAnsi="仿宋_GB2312" w:eastAsia="仿宋_GB2312" w:cs="仿宋_GB2312"/>
                <w:color w:val="000000"/>
                <w:kern w:val="0"/>
                <w:sz w:val="24"/>
                <w:szCs w:val="24"/>
                <w:highlight w:val="none"/>
                <w:vertAlign w:val="baseline"/>
                <w:lang w:eastAsia="zh-CN"/>
              </w:rPr>
            </w:pPr>
            <w:r>
              <w:rPr>
                <w:rFonts w:hint="eastAsia" w:ascii="仿宋_GB2312" w:hAnsi="仿宋_GB2312" w:eastAsia="仿宋_GB2312" w:cs="仿宋_GB2312"/>
                <w:color w:val="000000"/>
                <w:kern w:val="0"/>
                <w:sz w:val="24"/>
                <w:szCs w:val="24"/>
                <w:highlight w:val="none"/>
                <w:vertAlign w:val="baseline"/>
                <w:lang w:eastAsia="zh-CN"/>
              </w:rPr>
              <w:t>行政处罚事项数（项）</w:t>
            </w:r>
          </w:p>
        </w:tc>
        <w:tc>
          <w:tcPr>
            <w:tcW w:w="1417" w:type="dxa"/>
            <w:noWrap w:val="0"/>
            <w:vAlign w:val="top"/>
          </w:tcPr>
          <w:p w14:paraId="04BC3ECC">
            <w:pPr>
              <w:widowControl/>
              <w:spacing w:line="280" w:lineRule="exact"/>
              <w:jc w:val="both"/>
              <w:rPr>
                <w:rFonts w:hint="eastAsia" w:ascii="仿宋_GB2312" w:hAnsi="仿宋_GB2312" w:eastAsia="仿宋_GB2312" w:cs="仿宋_GB2312"/>
                <w:color w:val="000000"/>
                <w:kern w:val="0"/>
                <w:sz w:val="24"/>
                <w:szCs w:val="24"/>
                <w:highlight w:val="none"/>
                <w:vertAlign w:val="baseline"/>
                <w:lang w:eastAsia="zh-CN"/>
              </w:rPr>
            </w:pPr>
            <w:r>
              <w:rPr>
                <w:rFonts w:hint="eastAsia" w:ascii="仿宋_GB2312" w:hAnsi="仿宋_GB2312" w:eastAsia="仿宋_GB2312" w:cs="仿宋_GB2312"/>
                <w:color w:val="000000"/>
                <w:kern w:val="0"/>
                <w:sz w:val="24"/>
                <w:szCs w:val="24"/>
                <w:highlight w:val="none"/>
                <w:vertAlign w:val="baseline"/>
                <w:lang w:eastAsia="zh-CN"/>
              </w:rPr>
              <w:t>行政许可</w:t>
            </w:r>
          </w:p>
          <w:p w14:paraId="071E2462">
            <w:pPr>
              <w:widowControl/>
              <w:spacing w:line="280" w:lineRule="exact"/>
              <w:jc w:val="both"/>
              <w:rPr>
                <w:rFonts w:hint="eastAsia" w:ascii="仿宋_GB2312" w:hAnsi="仿宋_GB2312" w:eastAsia="仿宋_GB2312" w:cs="仿宋_GB2312"/>
                <w:color w:val="000000"/>
                <w:kern w:val="0"/>
                <w:sz w:val="24"/>
                <w:szCs w:val="24"/>
                <w:highlight w:val="none"/>
                <w:vertAlign w:val="baseline"/>
                <w:lang w:eastAsia="zh-CN"/>
              </w:rPr>
            </w:pPr>
            <w:r>
              <w:rPr>
                <w:rFonts w:hint="eastAsia" w:ascii="仿宋_GB2312" w:hAnsi="仿宋_GB2312" w:eastAsia="仿宋_GB2312" w:cs="仿宋_GB2312"/>
                <w:color w:val="000000"/>
                <w:kern w:val="0"/>
                <w:sz w:val="24"/>
                <w:szCs w:val="24"/>
                <w:highlight w:val="none"/>
                <w:vertAlign w:val="baseline"/>
                <w:lang w:eastAsia="zh-CN"/>
              </w:rPr>
              <w:t>事项数（项）</w:t>
            </w:r>
          </w:p>
        </w:tc>
        <w:tc>
          <w:tcPr>
            <w:tcW w:w="1417" w:type="dxa"/>
            <w:noWrap w:val="0"/>
            <w:vAlign w:val="top"/>
          </w:tcPr>
          <w:p w14:paraId="4F2CF0FD">
            <w:pPr>
              <w:widowControl/>
              <w:spacing w:line="280" w:lineRule="exact"/>
              <w:jc w:val="both"/>
              <w:rPr>
                <w:rFonts w:hint="eastAsia" w:ascii="仿宋_GB2312" w:hAnsi="仿宋_GB2312" w:eastAsia="仿宋_GB2312" w:cs="仿宋_GB2312"/>
                <w:color w:val="000000"/>
                <w:kern w:val="0"/>
                <w:sz w:val="24"/>
                <w:szCs w:val="24"/>
                <w:highlight w:val="none"/>
                <w:vertAlign w:val="baseline"/>
                <w:lang w:eastAsia="zh-CN"/>
              </w:rPr>
            </w:pPr>
            <w:r>
              <w:rPr>
                <w:rFonts w:hint="eastAsia" w:ascii="仿宋_GB2312" w:hAnsi="仿宋_GB2312" w:eastAsia="仿宋_GB2312" w:cs="仿宋_GB2312"/>
                <w:color w:val="000000"/>
                <w:kern w:val="0"/>
                <w:sz w:val="24"/>
                <w:szCs w:val="24"/>
                <w:highlight w:val="none"/>
                <w:vertAlign w:val="baseline"/>
                <w:lang w:eastAsia="zh-CN"/>
              </w:rPr>
              <w:t>行政检查事项数（项）</w:t>
            </w:r>
          </w:p>
        </w:tc>
        <w:tc>
          <w:tcPr>
            <w:tcW w:w="1644" w:type="dxa"/>
            <w:noWrap w:val="0"/>
            <w:vAlign w:val="top"/>
          </w:tcPr>
          <w:p w14:paraId="4062B8AD">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编制《跨部门联合检查》计划数（个）</w:t>
            </w:r>
          </w:p>
        </w:tc>
        <w:tc>
          <w:tcPr>
            <w:tcW w:w="1417" w:type="dxa"/>
            <w:noWrap w:val="0"/>
            <w:vAlign w:val="top"/>
          </w:tcPr>
          <w:p w14:paraId="4C9AEEE1">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依据上级部署开展专项检查数（个）</w:t>
            </w:r>
          </w:p>
        </w:tc>
        <w:tc>
          <w:tcPr>
            <w:tcW w:w="1417" w:type="dxa"/>
            <w:noWrap w:val="0"/>
            <w:vAlign w:val="top"/>
          </w:tcPr>
          <w:p w14:paraId="77578A60">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编制本级专项检查计划数（个）</w:t>
            </w:r>
          </w:p>
        </w:tc>
        <w:tc>
          <w:tcPr>
            <w:tcW w:w="1417" w:type="dxa"/>
            <w:noWrap w:val="0"/>
            <w:vAlign w:val="top"/>
          </w:tcPr>
          <w:p w14:paraId="4901D8A6">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评查行政执法案卷数（件）</w:t>
            </w:r>
          </w:p>
        </w:tc>
        <w:tc>
          <w:tcPr>
            <w:tcW w:w="1417" w:type="dxa"/>
            <w:noWrap w:val="0"/>
            <w:vAlign w:val="top"/>
          </w:tcPr>
          <w:p w14:paraId="389FC026">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评查案件整改问题数（项）</w:t>
            </w:r>
          </w:p>
        </w:tc>
        <w:tc>
          <w:tcPr>
            <w:tcW w:w="1417" w:type="dxa"/>
            <w:noWrap w:val="0"/>
            <w:vAlign w:val="top"/>
          </w:tcPr>
          <w:p w14:paraId="7F5F7828">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eastAsia="zh-CN"/>
              </w:rPr>
              <w:t>查摆行政执法问题线索数（条）</w:t>
            </w:r>
          </w:p>
        </w:tc>
      </w:tr>
      <w:tr w14:paraId="4A0FA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1134" w:type="dxa"/>
            <w:noWrap w:val="0"/>
            <w:vAlign w:val="top"/>
          </w:tcPr>
          <w:p w14:paraId="414E3BFF">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白田镇综合行政执法大队</w:t>
            </w:r>
          </w:p>
        </w:tc>
        <w:tc>
          <w:tcPr>
            <w:tcW w:w="1197" w:type="dxa"/>
            <w:noWrap w:val="0"/>
            <w:vAlign w:val="top"/>
          </w:tcPr>
          <w:p w14:paraId="34E5D97B">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14</w:t>
            </w:r>
          </w:p>
        </w:tc>
        <w:tc>
          <w:tcPr>
            <w:tcW w:w="1417" w:type="dxa"/>
            <w:noWrap w:val="0"/>
            <w:vAlign w:val="top"/>
          </w:tcPr>
          <w:p w14:paraId="04B2C076">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10</w:t>
            </w:r>
          </w:p>
        </w:tc>
        <w:tc>
          <w:tcPr>
            <w:tcW w:w="1417" w:type="dxa"/>
            <w:noWrap w:val="0"/>
            <w:vAlign w:val="top"/>
          </w:tcPr>
          <w:p w14:paraId="3EC98C4A">
            <w:pPr>
              <w:widowControl/>
              <w:spacing w:line="280" w:lineRule="exact"/>
              <w:jc w:val="both"/>
              <w:rPr>
                <w:rFonts w:hint="eastAsia" w:ascii="仿宋_GB2312" w:hAnsi="仿宋_GB2312" w:eastAsia="仿宋_GB2312" w:cs="仿宋_GB2312"/>
                <w:color w:val="000000"/>
                <w:kern w:val="0"/>
                <w:sz w:val="24"/>
                <w:szCs w:val="24"/>
                <w:vertAlign w:val="baseline"/>
                <w:lang w:eastAsia="zh-CN"/>
              </w:rPr>
            </w:pPr>
            <w:r>
              <w:rPr>
                <w:rFonts w:hint="eastAsia" w:ascii="仿宋_GB2312" w:hAnsi="仿宋_GB2312" w:eastAsia="仿宋_GB2312" w:cs="仿宋_GB2312"/>
                <w:color w:val="000000"/>
                <w:kern w:val="0"/>
                <w:sz w:val="24"/>
                <w:szCs w:val="24"/>
                <w:vertAlign w:val="baseline"/>
                <w:lang w:val="en-US" w:eastAsia="zh-CN"/>
              </w:rPr>
              <w:t>8.</w:t>
            </w:r>
          </w:p>
        </w:tc>
        <w:tc>
          <w:tcPr>
            <w:tcW w:w="1644" w:type="dxa"/>
            <w:noWrap w:val="0"/>
            <w:vAlign w:val="top"/>
          </w:tcPr>
          <w:p w14:paraId="68B74439">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c>
          <w:tcPr>
            <w:tcW w:w="1417" w:type="dxa"/>
            <w:noWrap w:val="0"/>
            <w:vAlign w:val="top"/>
          </w:tcPr>
          <w:p w14:paraId="3A16F6B8">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c>
          <w:tcPr>
            <w:tcW w:w="1417" w:type="dxa"/>
            <w:noWrap w:val="0"/>
            <w:vAlign w:val="top"/>
          </w:tcPr>
          <w:p w14:paraId="77A55471">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c>
          <w:tcPr>
            <w:tcW w:w="1417" w:type="dxa"/>
            <w:noWrap w:val="0"/>
            <w:vAlign w:val="top"/>
          </w:tcPr>
          <w:p w14:paraId="5A7DD696">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c>
          <w:tcPr>
            <w:tcW w:w="1417" w:type="dxa"/>
            <w:noWrap w:val="0"/>
            <w:vAlign w:val="top"/>
          </w:tcPr>
          <w:p w14:paraId="48AD74A5">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c>
          <w:tcPr>
            <w:tcW w:w="1417" w:type="dxa"/>
            <w:noWrap w:val="0"/>
            <w:vAlign w:val="top"/>
          </w:tcPr>
          <w:p w14:paraId="2E7165CF">
            <w:pPr>
              <w:widowControl/>
              <w:spacing w:line="280" w:lineRule="exact"/>
              <w:jc w:val="both"/>
              <w:rPr>
                <w:rFonts w:hint="default" w:ascii="仿宋_GB2312" w:hAnsi="仿宋_GB2312" w:eastAsia="仿宋_GB2312" w:cs="仿宋_GB2312"/>
                <w:color w:val="000000"/>
                <w:kern w:val="0"/>
                <w:sz w:val="24"/>
                <w:szCs w:val="24"/>
                <w:vertAlign w:val="baseline"/>
                <w:lang w:val="en-US" w:eastAsia="zh-CN"/>
              </w:rPr>
            </w:pPr>
            <w:r>
              <w:rPr>
                <w:rFonts w:hint="eastAsia" w:ascii="仿宋_GB2312" w:hAnsi="仿宋_GB2312" w:eastAsia="仿宋_GB2312" w:cs="仿宋_GB2312"/>
                <w:color w:val="000000"/>
                <w:kern w:val="0"/>
                <w:sz w:val="24"/>
                <w:szCs w:val="24"/>
                <w:vertAlign w:val="baseline"/>
                <w:lang w:val="en-US" w:eastAsia="zh-CN"/>
              </w:rPr>
              <w:t>0</w:t>
            </w:r>
          </w:p>
        </w:tc>
      </w:tr>
    </w:tbl>
    <w:p w14:paraId="2D4627CD">
      <w:pPr>
        <w:widowControl/>
        <w:spacing w:line="280" w:lineRule="exact"/>
        <w:jc w:val="both"/>
        <w:rPr>
          <w:rFonts w:hint="eastAsia" w:ascii="仿宋_GB2312" w:hAnsi="仿宋_GB2312" w:eastAsia="仿宋_GB2312" w:cs="仿宋_GB2312"/>
          <w:color w:val="000000"/>
          <w:kern w:val="0"/>
          <w:sz w:val="24"/>
          <w:szCs w:val="24"/>
          <w:lang w:eastAsia="zh-CN"/>
        </w:rPr>
      </w:pPr>
    </w:p>
    <w:p w14:paraId="7D0DC716">
      <w:pPr>
        <w:pStyle w:val="2"/>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eastAsia="zh-CN"/>
        </w:rPr>
        <w:t>填表说明：</w:t>
      </w:r>
      <w:r>
        <w:rPr>
          <w:rFonts w:hint="eastAsia" w:ascii="仿宋_GB2312" w:hAnsi="仿宋_GB2312" w:eastAsia="仿宋_GB2312" w:cs="仿宋_GB2312"/>
          <w:color w:val="000000"/>
          <w:kern w:val="0"/>
          <w:sz w:val="24"/>
          <w:szCs w:val="24"/>
          <w:lang w:val="en-US" w:eastAsia="zh-CN"/>
        </w:rPr>
        <w:t>1.</w:t>
      </w:r>
      <w:r>
        <w:rPr>
          <w:rFonts w:hint="eastAsia" w:ascii="仿宋_GB2312" w:hAnsi="仿宋_GB2312" w:eastAsia="仿宋_GB2312" w:cs="仿宋_GB2312"/>
          <w:spacing w:val="1"/>
          <w:sz w:val="24"/>
          <w:szCs w:val="24"/>
        </w:rPr>
        <w:t>本表汇总数据为</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年1月1日至</w:t>
      </w:r>
      <w:r>
        <w:rPr>
          <w:rFonts w:hint="default" w:ascii="仿宋_GB2312" w:hAnsi="仿宋_GB2312" w:eastAsia="仿宋_GB2312" w:cs="仿宋_GB2312"/>
          <w:spacing w:val="1"/>
          <w:sz w:val="24"/>
          <w:szCs w:val="24"/>
          <w:lang w:val="en"/>
        </w:rPr>
        <w:t>202</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pacing w:val="1"/>
          <w:sz w:val="24"/>
          <w:szCs w:val="24"/>
        </w:rPr>
        <w:t>年12月31日止。</w:t>
      </w:r>
    </w:p>
    <w:p w14:paraId="10E7DB5E">
      <w:pPr>
        <w:widowControl/>
        <w:numPr>
          <w:ilvl w:val="0"/>
          <w:numId w:val="0"/>
        </w:numPr>
        <w:spacing w:line="280" w:lineRule="exact"/>
        <w:ind w:left="719" w:leftChars="228" w:hanging="240" w:hangingChars="100"/>
        <w:jc w:val="both"/>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2.行政处罚事项数、行政许可事项数、行政检查事项数请分类统计,例如：食品安全监管类X项、药品、医疗器械与化妆品监管类X项、药品、医疗器械与化妆品监管类X项。</w:t>
      </w:r>
    </w:p>
    <w:p w14:paraId="795F729C">
      <w:pPr>
        <w:widowControl/>
        <w:numPr>
          <w:ilvl w:val="0"/>
          <w:numId w:val="0"/>
        </w:numPr>
        <w:spacing w:line="280" w:lineRule="exact"/>
        <w:ind w:left="719" w:leftChars="228" w:hanging="240" w:hangingChars="100"/>
        <w:jc w:val="both"/>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3.案卷评查指各行政执法单位行政执法监督机构对本单位及下级单位开展的案卷评查，不包含同级、上级人民政府行政执法监督机构对本单位开展的案卷评查。</w:t>
      </w:r>
    </w:p>
    <w:p w14:paraId="6AF6D156"/>
    <w:p w14:paraId="768337B2">
      <w:pPr>
        <w:keepNext w:val="0"/>
        <w:keepLines w:val="0"/>
        <w:pageBreakBefore w:val="0"/>
        <w:widowControl w:val="0"/>
        <w:kinsoku/>
        <w:wordWrap/>
        <w:overflowPunct/>
        <w:topLinePunct w:val="0"/>
        <w:autoSpaceDE/>
        <w:autoSpaceDN/>
        <w:bidi w:val="0"/>
        <w:adjustRightInd/>
        <w:snapToGrid/>
        <w:jc w:val="both"/>
        <w:textAlignment w:val="auto"/>
        <w:rPr>
          <w:rStyle w:val="7"/>
          <w:rFonts w:hint="default" w:ascii="仿宋_GB2312" w:hAnsi="仿宋_GB2312" w:eastAsia="仿宋_GB2312" w:cs="仿宋_GB2312"/>
          <w:color w:val="auto"/>
          <w:w w:val="95"/>
          <w:sz w:val="32"/>
          <w:szCs w:val="40"/>
          <w:u w:val="none"/>
          <w:lang w:val="en-US" w:eastAsia="zh-CN"/>
        </w:rPr>
      </w:pPr>
    </w:p>
    <w:p w14:paraId="2BC8BEDC"/>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E2588"/>
    <w:rsid w:val="7B0E2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jc w:val="both"/>
    </w:pPr>
    <w:rPr>
      <w:rFonts w:ascii="仿宋" w:hAnsi="仿宋" w:eastAsia="仿宋" w:cs="仿宋"/>
      <w:kern w:val="2"/>
      <w:sz w:val="33"/>
      <w:szCs w:val="33"/>
      <w:lang w:val="en-US" w:eastAsia="zh-CN" w:bidi="ar-SA"/>
    </w:rPr>
  </w:style>
  <w:style w:type="paragraph" w:styleId="3">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qFormat/>
    <w:uiPriority w:val="0"/>
    <w:rPr>
      <w:color w:val="0000FF"/>
      <w:u w:val="single"/>
    </w:rPr>
  </w:style>
  <w:style w:type="paragraph" w:customStyle="1" w:styleId="8">
    <w:name w:val="Table Text"/>
    <w:qFormat/>
    <w:uiPriority w:val="0"/>
    <w:pPr>
      <w:widowControl w:val="0"/>
      <w:jc w:val="both"/>
    </w:pPr>
    <w:rPr>
      <w:rFonts w:ascii="宋体" w:hAnsi="宋体" w:eastAsia="宋体" w:cs="宋体"/>
      <w:kern w:val="2"/>
      <w:sz w:val="19"/>
      <w:szCs w:val="19"/>
      <w:lang w:val="en-US" w:eastAsia="zh-CN" w:bidi="ar-SA"/>
    </w:rPr>
  </w:style>
  <w:style w:type="table" w:customStyle="1" w:styleId="9">
    <w:name w:val="Table Normal"/>
    <w:qFormat/>
    <w:uiPriority w:val="0"/>
    <w:tblPr>
      <w:tblCellMar>
        <w:top w:w="0" w:type="dxa"/>
        <w:left w:w="0" w:type="dxa"/>
        <w:bottom w:w="0" w:type="dxa"/>
        <w:right w:w="0" w:type="dxa"/>
      </w:tblCellMar>
    </w:tblPr>
  </w:style>
  <w:style w:type="paragraph" w:styleId="10">
    <w:name w:val="No Spacing"/>
    <w:qFormat/>
    <w:uiPriority w:val="1"/>
    <w:pPr>
      <w:adjustRightInd w:val="0"/>
      <w:snapToGrid w:val="0"/>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2026-02-02T02:35:00Z</dcterms:created>
  <dc:creator>橙澄</dc:creator>
  <cp:lastModifiedBy>橙澄</cp:lastModifiedBy>
  <dcterms:modified xsi:type="dcterms:W3CDTF">2026-02-02T02:36:29Z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829EB2C5B15D4AF99BF2D03222C499F5_11</vt:lpwstr>
  </property>
  <property fmtid="{D5CDD505-2E9C-101B-9397-08002B2CF9AE}" pid="4" name="KSOTemplateDocerSaveRecord">
    <vt:lpwstr>eyJoZGlkIjoiMDZhYTE1OWZjMzhlNDU2Yzc2ZTBkYjdkYzAzNjE5NjkiLCJ1c2VySWQiOiIzMDAyOTI4OTIifQ==</vt:lpwstr>
  </property>
</Properties>
</file>