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D28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东郊乡2025年法治政府建设工作报告</w:t>
      </w:r>
    </w:p>
    <w:p w14:paraId="1BB174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</w:p>
    <w:p w14:paraId="6C50DC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2025年以来，东郊乡在市委、市政府的正确领导下，坚持以习近平新时代中国特色社会主义思想为指导，深入学习贯彻党的二十大精神和习近平法治思想。严格落实上级各项要求，以坚定不移的决心、求真务实的态度，全方位、深层次扎实推进法治政府建设工作。现将自查详情汇报如下：</w:t>
      </w:r>
    </w:p>
    <w:p w14:paraId="55B98A55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工作开展情况</w:t>
      </w:r>
    </w:p>
    <w:p w14:paraId="163BDA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（一）强化组织领导，压实法治建设责任。</w:t>
      </w:r>
    </w:p>
    <w:p w14:paraId="52957A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东郊乡党委、政府始终将法治政府建设摆在全局工作的重要位置。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健全常态化研究部署机制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定期通过党委会、专题会等方式听取法治政府建设工作汇报，研究制定每年度的法治政府建设工作计划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；二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是</w:t>
      </w:r>
      <w:r>
        <w:rPr>
          <w:rFonts w:hint="eastAsia" w:ascii="仿宋_GB2312" w:hAnsi="仿宋_GB2312" w:eastAsia="仿宋_GB2312" w:cs="仿宋_GB2312"/>
          <w:sz w:val="30"/>
          <w:szCs w:val="30"/>
        </w:rPr>
        <w:t>持续深化领导干部带头尊法学法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</w:rPr>
        <w:t>组织乡党委班子成员在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党委理论</w:t>
      </w:r>
      <w:r>
        <w:rPr>
          <w:rFonts w:hint="eastAsia" w:ascii="仿宋_GB2312" w:hAnsi="仿宋_GB2312" w:eastAsia="仿宋_GB2312" w:cs="仿宋_GB2312"/>
          <w:sz w:val="30"/>
          <w:szCs w:val="30"/>
        </w:rPr>
        <w:t>学习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中心组</w:t>
      </w:r>
      <w:r>
        <w:rPr>
          <w:rFonts w:hint="eastAsia" w:ascii="仿宋_GB2312" w:hAnsi="仿宋_GB2312" w:eastAsia="仿宋_GB2312" w:cs="仿宋_GB2312"/>
          <w:sz w:val="30"/>
          <w:szCs w:val="30"/>
        </w:rPr>
        <w:t>上学习《习近平法治文选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》《</w:t>
      </w:r>
      <w:r>
        <w:rPr>
          <w:rFonts w:hint="eastAsia" w:ascii="仿宋_GB2312" w:hAnsi="仿宋_GB2312" w:eastAsia="仿宋_GB2312" w:cs="仿宋_GB2312"/>
          <w:sz w:val="30"/>
          <w:szCs w:val="30"/>
        </w:rPr>
        <w:t>习近平法治思想学习纲要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》《中华人民共和国民法典</w:t>
      </w:r>
      <w:r>
        <w:rPr>
          <w:rFonts w:hint="eastAsia" w:ascii="仿宋_GB2312" w:hAnsi="仿宋_GB2312" w:eastAsia="仿宋_GB2312" w:cs="仿宋_GB2312"/>
          <w:sz w:val="30"/>
          <w:szCs w:val="30"/>
        </w:rPr>
        <w:t>》等重要文件精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神及法律法规</w:t>
      </w:r>
      <w:r>
        <w:rPr>
          <w:rFonts w:hint="eastAsia" w:ascii="仿宋_GB2312" w:hAnsi="仿宋_GB2312" w:eastAsia="仿宋_GB2312" w:cs="仿宋_GB2312"/>
          <w:sz w:val="30"/>
          <w:szCs w:val="30"/>
        </w:rPr>
        <w:t>，切实增强领导干部运用法治思维和法治方式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深化改革、推动发展、化解矛盾、维护稳定的能力。</w:t>
      </w:r>
    </w:p>
    <w:p w14:paraId="44B77E28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深化普法宣传，营造浓厚法治氛围。</w:t>
      </w:r>
    </w:p>
    <w:p w14:paraId="700D28E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聚焦校园，送法进课堂。联合派出所、司法所、法庭、综治办、妇联等单位，深入全乡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三所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中小学开展法治专题讲座3场，覆盖师生3500余人次，重点宣讲预防校园欺凌、禁毒知识、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交通安全、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未成年人保护等内容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聚焦企业，送法促合规。乡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司法所协同乡工会走访企业1次，围绕企业常见法律风险及合规经营开展针对性普法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聚焦乡村，送法到街头。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提升基层群众法治意识。组织工作人员在长丰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村街上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设立普法宣传点3次，累计发放法律宣传资料1000份，帮助群众了解与其生产生活密切相关的法律法规。</w:t>
      </w:r>
    </w:p>
    <w:p w14:paraId="16DECD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）规范行政执法，提升依法行政水平。</w:t>
      </w:r>
    </w:p>
    <w:p w14:paraId="3738BB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健全依法决策机制。严格执行重大行政决策程序规定，对涉及经济社会发展全局、社会公共利益、重大公共建设项目等事项，均充分听取法律顾问意见，确保决策合法合规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加强执法队伍建设。组织综合行政执法大队、平安应急办等一线执法人员参加市级业务培训5轮，举办乡级执法规范化培训班4期，持续提升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队伍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执法能力。鼓励并组织人员积极参加执法资格考证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目前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已有</w:t>
      </w:r>
      <w:r>
        <w:rPr>
          <w:rFonts w:hint="eastAsia" w:ascii="仿宋_GB2312" w:hAnsi="仿宋_GB2312" w:eastAsia="仿宋_GB2312" w:cs="仿宋_GB2312"/>
          <w:sz w:val="32"/>
          <w:szCs w:val="32"/>
        </w:rPr>
        <w:t>持证执法人员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名。严格落实行政执法“三公开”制度，推动执法信息公开、执法过程公开、执法结果公开，统一规范执法流程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强化执法案卷管理。截至12月，累计制作行政执法案卷14份，移交上级执法案卷12份，确保案卷管理规范、材料完整、程序合法。</w:t>
      </w:r>
    </w:p>
    <w:p w14:paraId="067382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）创新治理方式，有效化解矛盾纠纷。</w:t>
      </w:r>
    </w:p>
    <w:p w14:paraId="7A88E7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完善矛盾纠纷多元化解体系。坚持和发展新时代“枫桥经验”，健全“三调联动”机制，成立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信访联席会议机制，严格落实领导干部开门接访制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全乡累计</w:t>
      </w:r>
      <w:r>
        <w:rPr>
          <w:rFonts w:hint="eastAsia" w:ascii="仿宋_GB2312" w:hAnsi="仿宋_GB2312" w:eastAsia="仿宋_GB2312" w:cs="仿宋_GB2312"/>
          <w:sz w:val="32"/>
          <w:szCs w:val="32"/>
        </w:rPr>
        <w:t>接待来访群众300余人次，收集群众反映的各类问题107余个，主要涉及社会保障、基础设施建设、村级财务、征地拆迁及邻里矛盾等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方面。排查</w:t>
      </w:r>
      <w:r>
        <w:rPr>
          <w:rFonts w:hint="eastAsia" w:ascii="仿宋_GB2312" w:hAnsi="仿宋_GB2312" w:eastAsia="仿宋_GB2312" w:cs="仿宋_GB2312"/>
          <w:sz w:val="32"/>
          <w:szCs w:val="32"/>
        </w:rPr>
        <w:t>调解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各类</w:t>
      </w:r>
      <w:r>
        <w:rPr>
          <w:rFonts w:hint="eastAsia" w:ascii="仿宋_GB2312" w:hAnsi="仿宋_GB2312" w:eastAsia="仿宋_GB2312" w:cs="仿宋_GB2312"/>
          <w:sz w:val="32"/>
          <w:szCs w:val="32"/>
        </w:rPr>
        <w:t>矛盾纠纷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约</w:t>
      </w:r>
      <w:r>
        <w:rPr>
          <w:rFonts w:hint="eastAsia" w:ascii="仿宋_GB2312" w:hAnsi="仿宋_GB2312" w:eastAsia="仿宋_GB2312" w:cs="仿宋_GB2312"/>
          <w:sz w:val="32"/>
          <w:szCs w:val="32"/>
        </w:rPr>
        <w:t>200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</w:t>
      </w:r>
      <w:r>
        <w:rPr>
          <w:rFonts w:hint="eastAsia" w:ascii="仿宋_GB2312" w:hAnsi="仿宋_GB2312" w:eastAsia="仿宋_GB2312" w:cs="仿宋_GB2312"/>
          <w:sz w:val="32"/>
          <w:szCs w:val="32"/>
        </w:rPr>
        <w:t>复杂疑难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矛盾为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50件，</w:t>
      </w:r>
      <w:r>
        <w:rPr>
          <w:rFonts w:hint="eastAsia" w:ascii="仿宋_GB2312" w:hAnsi="仿宋_GB2312" w:eastAsia="仿宋_GB2312" w:cs="仿宋_GB2312"/>
          <w:sz w:val="32"/>
          <w:szCs w:val="32"/>
        </w:rPr>
        <w:t>矛盾纠纷调解成功率达95%以上，主持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调处</w:t>
      </w:r>
      <w:r>
        <w:rPr>
          <w:rFonts w:hint="eastAsia" w:ascii="仿宋_GB2312" w:hAnsi="仿宋_GB2312" w:eastAsia="仿宋_GB2312" w:cs="仿宋_GB2312"/>
          <w:sz w:val="32"/>
          <w:szCs w:val="32"/>
        </w:rPr>
        <w:t>非正常死亡纠纷8起，无民转刑案件的发生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扎实推进“雪亮工程”建设。乡成立治安巡逻队，由当日值班领导带队，组织乡村干部、派出所民警开展联合巡逻，配备警车在全乡范围内进行巡逻防控，并深入各村开展夜间巡访。截至12月，东郊乡派出所累计接处警800起，采取刑事强制措施25人，治安拘留51人；破获电信网络诈骗案件6起，挽回经济损失14万元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统筹推进“平安东郊”建设。常态化开展扫黑除恶斗争与安全生产专项整治，加强对刑满释放人员、精神障碍患者等重点人群的服务管理，落实包案责任制，确保重点人员情况稳定可控。</w:t>
      </w:r>
      <w:bookmarkStart w:id="0" w:name="_GoBack"/>
      <w:bookmarkEnd w:id="0"/>
    </w:p>
    <w:p w14:paraId="61E253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二、存在的主要问题与不足</w:t>
      </w:r>
    </w:p>
    <w:p w14:paraId="392F1E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在总结成绩的同时，我们也清醒地认识到，对标更高水平的法治政府建设要求和人民群众的新期待，我乡工作仍存在一些亟待改进之处：</w:t>
      </w:r>
    </w:p>
    <w:p w14:paraId="0D1434DC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法治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宣传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方面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工作有待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优化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 w14:paraId="770C2E0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宣传手段相对单一。目前主要依赖线下宣讲、发放传单、上门普法等传统方式，受人力与经费限制，其影响范围、持续深度及实际效能均有不足，单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宣传成本效益偏低。未来需积极拓展新媒体平台，加强线上宣传，以提升宣传效率、扩大覆盖范围，进一步增强法治宣传的渗透力与影响力，营造更浓厚的法治氛围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</w:rPr>
        <w:t>普法覆盖面存在盲区。针对辖区内个体工商户及流动人口等重点群体，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普法</w:t>
      </w:r>
      <w:r>
        <w:rPr>
          <w:rFonts w:hint="eastAsia" w:ascii="仿宋_GB2312" w:hAnsi="仿宋_GB2312" w:eastAsia="仿宋_GB2312" w:cs="仿宋_GB2312"/>
          <w:sz w:val="32"/>
          <w:szCs w:val="32"/>
        </w:rPr>
        <w:t>活动的推进深度与开展频次仍有提升空间。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依法经营意识与依法维权能力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</w:rPr>
        <w:t>待强化，需进一步引导企业规范经营、职工理性维权。</w:t>
      </w:r>
    </w:p>
    <w:p w14:paraId="223FCB1F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行政执法专业化水平有待提升。</w:t>
      </w:r>
    </w:p>
    <w:p w14:paraId="65267C1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部分执法人员法治素养和业务能力仍需增强。在综合行政执法改革后执法领域拓宽、事项增多的背景下，部分人员存在法律知识更新不足、执法程序把握不准、复杂案件应对能力不强、新型监管方式运用不熟练等问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执法装备和经费保障仍显不足。受财政资金制约，难以充分满足执法工作点多、线长、面广的实际需求，执法成本较高，特种执法车辆、执法船只、移动终端等设备配备不足，制约了执法效能的有效发挥。</w:t>
      </w:r>
    </w:p>
    <w:p w14:paraId="0AF34D64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基层法治力量建设水平有待提高。</w:t>
      </w:r>
    </w:p>
    <w:p w14:paraId="4E7DA4B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执法队伍专职化程度不足，存在“证岗分离”现象。目前虽有12人持有执法证，但一线执法部门中有证人员较少，在完成日常法治指导、执法监督等工作时，偶尔需临时调度人员增援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基层法治力量专业化建设有待加强。村级“法律明白人”、人民调解员队伍及专职调委会虽已初步建立，但专业化培训仍显不足，作用发挥不均衡。</w:t>
      </w:r>
    </w:p>
    <w:p w14:paraId="7B8F64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三、下一步整改措施与工作打算</w:t>
      </w:r>
    </w:p>
    <w:p w14:paraId="0880CD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针对以上问题，我乡将坚持问题导向，聚焦短板弱项，采取切实有效措施，全力推动法治政府建设再上新台阶：</w:t>
      </w:r>
    </w:p>
    <w:p w14:paraId="24C6EBFF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优化法治宣传方式，提升宣传覆盖与实效。</w:t>
      </w:r>
    </w:p>
    <w:p w14:paraId="34D362A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创新宣传手段，推动线上线下融合。积极拓展微信、短视频等新媒体平台，逐步减少对传统线下宣传的单一依赖，提升宣传效率与覆盖面，增强法治宣传的渗透力和影响力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强化重点群体普法。针对个体工商户、流动人口等重点对象，制定专项普法计划，常态化开展“送法进企业”“法治讲堂”等活动，提升其依法经营和依法维权能力，消除普法盲区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 w14:paraId="28B334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（二）加强执法能力与保障，提升行政执法专业化水平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。</w:t>
      </w:r>
    </w:p>
    <w:p w14:paraId="5F1AE7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系统开展执法能力培训。围绕法律法规更新、执法程序规范、复杂案件处置及新型监管方式等内容，制定年度培训计划，通过集中轮训、案例研讨、模拟执法等方式，全面提升执法人员法治素养和业务能力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加大执法装备与经费保障力度。积极向上争取财政支持，将执法装备购置和更新纳入年度预算，重点保障执法车辆、船只、移动终端等必要设备，切实满足执法工作“点多、线长、面广”的实际需求。</w:t>
      </w:r>
    </w:p>
    <w:p w14:paraId="2D23F9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（三）夯实基层法治力量，推进专职化与专业化建设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。</w:t>
      </w:r>
    </w:p>
    <w:p w14:paraId="32D82E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推动执法力量专职化整合。优化执法人员配置，逐步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改善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“证岗分离”问题，探索建立“法治人才库”，完善公职律师、法律顾问协同工作机制，确保一线执法力量到位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加强基层法治队伍专业培训。加大对村级“法律明白人”、人民调解员等队伍的系统培训力度，完善考核激励机制，推动其在实际治理中有效发挥作用，提升基层依法治理水平。</w:t>
      </w:r>
    </w:p>
    <w:p w14:paraId="4E43A5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4BC69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5F388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湘乡市</w:t>
      </w:r>
      <w:r>
        <w:rPr>
          <w:rFonts w:hint="eastAsia" w:ascii="仿宋_GB2312" w:hAnsi="仿宋_GB2312" w:eastAsia="仿宋_GB2312" w:cs="仿宋_GB2312"/>
          <w:sz w:val="32"/>
          <w:szCs w:val="32"/>
        </w:rPr>
        <w:t>东郊乡人民政府</w:t>
      </w:r>
    </w:p>
    <w:p w14:paraId="456088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2025年12月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535CC1"/>
    <w:multiLevelType w:val="singleLevel"/>
    <w:tmpl w:val="03535C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6510B3B"/>
    <w:multiLevelType w:val="singleLevel"/>
    <w:tmpl w:val="16510B3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E3B2F99"/>
    <w:multiLevelType w:val="singleLevel"/>
    <w:tmpl w:val="1E3B2F9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F4BCA93"/>
    <w:multiLevelType w:val="singleLevel"/>
    <w:tmpl w:val="2F4BCA9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47F22"/>
    <w:rsid w:val="05E51322"/>
    <w:rsid w:val="0CDA4866"/>
    <w:rsid w:val="12641821"/>
    <w:rsid w:val="193652FD"/>
    <w:rsid w:val="19A66CB4"/>
    <w:rsid w:val="19A76BC3"/>
    <w:rsid w:val="1C0A3439"/>
    <w:rsid w:val="20CC72B6"/>
    <w:rsid w:val="23767606"/>
    <w:rsid w:val="24D10F97"/>
    <w:rsid w:val="3260395B"/>
    <w:rsid w:val="385A304D"/>
    <w:rsid w:val="40A566BC"/>
    <w:rsid w:val="415F066C"/>
    <w:rsid w:val="4A4F27DB"/>
    <w:rsid w:val="4B842010"/>
    <w:rsid w:val="4C9D782D"/>
    <w:rsid w:val="4F9DD042"/>
    <w:rsid w:val="575136EE"/>
    <w:rsid w:val="57650F48"/>
    <w:rsid w:val="584F0427"/>
    <w:rsid w:val="5CE60D7D"/>
    <w:rsid w:val="601B0D3D"/>
    <w:rsid w:val="64647F22"/>
    <w:rsid w:val="65CC501A"/>
    <w:rsid w:val="65DA6FA5"/>
    <w:rsid w:val="674C3ED2"/>
    <w:rsid w:val="6A143AC3"/>
    <w:rsid w:val="6CC14A1B"/>
    <w:rsid w:val="6E9A5523"/>
    <w:rsid w:val="759F4AB9"/>
    <w:rsid w:val="7B533629"/>
    <w:rsid w:val="7F24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 xmlns="http://schemas.wps.cn/vas-ai-hub/contract-review">
    <reviewItem xmlns="http://schemas.wps.cn/vas-ai-hub/contract-review">
      <errorID xmlns="http://schemas.wps.cn/vas-ai-hub/contract-review">dd54e928-1b08-4fdc-a9fb-259ca34a0780</errorID>
      <errorWord xmlns="http://schemas.wps.cn/vas-ai-hub/contract-review">民法典</errorWord>
      <group xmlns="http://schemas.wps.cn/vas-ai-hub/contract-review">L1_Knowledge</group>
      <groupName xmlns="http://schemas.wps.cn/vas-ai-hub/contract-review">知识性问题</groupName>
      <ability xmlns="http://schemas.wps.cn/vas-ai-hub/contract-review">L2_Knowledge</ability>
      <abilityName xmlns="http://schemas.wps.cn/vas-ai-hub/contract-review">其他知识</abilityName>
      <candidateList xmlns="http://schemas.wps.cn/vas-ai-hub/contract-review">
        <item xmlns="http://schemas.wps.cn/vas-ai-hub/contract-review">中华人民共和国民法典</item>
      </candidateList>
      <explain xmlns="http://schemas.wps.cn/vas-ai-hub/contract-review">当前法律法规名称使用简称，请注意是否应当使用全称。</explain>
      <paraID xmlns="http://schemas.wps.cn/vas-ai-hub/contract-review">52957ABE</paraID>
      <start xmlns="http://schemas.wps.cn/vas-ai-hub/contract-review">156</start>
      <end xmlns="http://schemas.wps.cn/vas-ai-hub/contract-review">159</end>
      <status xmlns="http://schemas.wps.cn/vas-ai-hub/contract-review">unmodified</status>
      <modifiedWord xmlns="http://schemas.wps.cn/vas-ai-hub/contract-review"/>
      <trackRevisions xmlns="http://schemas.wps.cn/vas-ai-hub/contract-review">false</trackRevisions>
    </reviewItem>
  </reviewItems>
  <config xmlns="http://schemas.wps.cn/vas-ai-hub/contract-review"/>
</contractReview>
</file>

<file path=customXml/itemProps1.xml><?xml version="1.0" encoding="utf-8"?>
<ds:datastoreItem xmlns:ds="http://schemas.openxmlformats.org/officeDocument/2006/customXml" ds:itemID="{82492177-7862-4294-b691-078ed8a04d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2756</Words>
  <Characters>2796</Characters>
  <Lines>0</Lines>
  <Paragraphs>0</Paragraphs>
  <TotalTime>5</TotalTime>
  <ScaleCrop>false</ScaleCrop>
  <LinksUpToDate>false</LinksUpToDate>
  <CharactersWithSpaces>2796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2025-12-08T08:54:00Z</dcterms:created>
  <dc:creator>bunik</dc:creator>
  <cp:lastModifiedBy>by</cp:lastModifiedBy>
  <dcterms:modified xsi:type="dcterms:W3CDTF">2025-12-23T03:37:39Z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761F766F9389408A8B35A8BB9FD8CCC7_11</vt:lpwstr>
  </property>
  <property fmtid="{D5CDD505-2E9C-101B-9397-08002B2CF9AE}" pid="4" name="KSOTemplateDocerSaveRecord">
    <vt:lpwstr>eyJoZGlkIjoiOTg0ZTBlOWRmMjYzZmRiOGQyM2I3MWE1OTU2MDEyMWUiLCJ1c2VySWQiOiI5NDg4NTkyMDMifQ==</vt:lpwstr>
  </property>
</Properties>
</file>