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EDD4F5">
      <w:pPr>
        <w:pStyle w:val="18"/>
        <w:spacing w:after="520" w:line="543" w:lineRule="exact"/>
        <w:ind w:firstLine="0"/>
        <w:jc w:val="right"/>
        <w:rPr>
          <w:rFonts w:ascii="仿宋" w:hAnsi="仿宋" w:eastAsia="仿宋" w:cs="Times New Roman"/>
          <w:color w:val="000000" w:themeColor="text1"/>
          <w14:textFill>
            <w14:solidFill>
              <w14:schemeClr w14:val="tx1"/>
            </w14:solidFill>
          </w14:textFill>
        </w:rPr>
      </w:pPr>
      <w:r>
        <w:rPr>
          <w:rFonts w:ascii="仿宋" w:hAnsi="仿宋" w:eastAsia="仿宋" w:cs="Times New Roman"/>
          <w:color w:val="000000" w:themeColor="text1"/>
          <w14:textFill>
            <w14:solidFill>
              <w14:schemeClr w14:val="tx1"/>
            </w14:solidFill>
          </w14:textFill>
        </w:rPr>
        <w:t>潭环审</w:t>
      </w:r>
      <w:r>
        <w:rPr>
          <w:rFonts w:hint="eastAsia" w:ascii="仿宋" w:hAnsi="仿宋" w:eastAsia="仿宋" w:cs="Times New Roman"/>
          <w:color w:val="000000" w:themeColor="text1"/>
          <w:lang w:val="en-US" w:eastAsia="zh-CN"/>
          <w14:textFill>
            <w14:solidFill>
              <w14:schemeClr w14:val="tx1"/>
            </w14:solidFill>
          </w14:textFill>
        </w:rPr>
        <w:t>(湘乡）</w:t>
      </w:r>
      <w:r>
        <w:rPr>
          <w:rFonts w:hint="eastAsia" w:ascii="方正仿宋_GBK" w:hAnsi="方正仿宋_GBK" w:eastAsia="方正仿宋_GBK" w:cs="方正仿宋_GBK"/>
          <w:color w:val="000000" w:themeColor="text1"/>
          <w:lang w:val="en-US" w:eastAsia="zh-CN"/>
          <w14:textFill>
            <w14:solidFill>
              <w14:schemeClr w14:val="tx1"/>
            </w14:solidFill>
          </w14:textFill>
        </w:rPr>
        <w:t>〔</w:t>
      </w:r>
      <w:r>
        <w:rPr>
          <w:rFonts w:ascii="仿宋" w:hAnsi="仿宋" w:eastAsia="仿宋" w:cs="Times New Roman"/>
          <w:b/>
          <w:bCs/>
          <w:color w:val="000000" w:themeColor="text1"/>
          <w14:textFill>
            <w14:solidFill>
              <w14:schemeClr w14:val="tx1"/>
            </w14:solidFill>
          </w14:textFill>
        </w:rPr>
        <w:t>20</w:t>
      </w:r>
      <w:r>
        <w:rPr>
          <w:rFonts w:ascii="仿宋" w:hAnsi="仿宋" w:eastAsia="仿宋" w:cs="Times New Roman"/>
          <w:b/>
          <w:bCs/>
          <w:color w:val="000000" w:themeColor="text1"/>
          <w:lang w:val="en-US" w:eastAsia="zh-CN"/>
          <w14:textFill>
            <w14:solidFill>
              <w14:schemeClr w14:val="tx1"/>
            </w14:solidFill>
          </w14:textFill>
        </w:rPr>
        <w:t>2</w:t>
      </w:r>
      <w:r>
        <w:rPr>
          <w:rFonts w:hint="eastAsia" w:ascii="仿宋" w:hAnsi="仿宋" w:eastAsia="仿宋" w:cs="Times New Roman"/>
          <w:b/>
          <w:bCs/>
          <w:color w:val="000000" w:themeColor="text1"/>
          <w:lang w:val="en-US" w:eastAsia="zh-CN"/>
          <w14:textFill>
            <w14:solidFill>
              <w14:schemeClr w14:val="tx1"/>
            </w14:solidFill>
          </w14:textFill>
        </w:rPr>
        <w:t>5</w:t>
      </w:r>
      <w:r>
        <w:rPr>
          <w:rFonts w:hint="eastAsia" w:ascii="方正仿宋_GBK" w:hAnsi="方正仿宋_GBK" w:eastAsia="方正仿宋_GBK" w:cs="方正仿宋_GBK"/>
          <w:b/>
          <w:bCs/>
          <w:color w:val="000000" w:themeColor="text1"/>
          <w:lang w:val="en-US" w:eastAsia="zh-CN"/>
          <w14:textFill>
            <w14:solidFill>
              <w14:schemeClr w14:val="tx1"/>
            </w14:solidFill>
          </w14:textFill>
        </w:rPr>
        <w:t>〕</w:t>
      </w:r>
      <w:r>
        <w:rPr>
          <w:rFonts w:ascii="仿宋" w:hAnsi="仿宋" w:eastAsia="仿宋" w:cs="Times New Roman"/>
          <w:b/>
          <w:bCs/>
          <w:color w:val="000000" w:themeColor="text1"/>
          <w:lang w:val="en-US" w:eastAsia="zh-CN"/>
          <w14:textFill>
            <w14:solidFill>
              <w14:schemeClr w14:val="tx1"/>
            </w14:solidFill>
          </w14:textFill>
        </w:rPr>
        <w:t>***</w:t>
      </w:r>
      <w:r>
        <w:rPr>
          <w:rFonts w:ascii="仿宋" w:hAnsi="仿宋" w:eastAsia="仿宋" w:cs="Times New Roman"/>
          <w:color w:val="000000" w:themeColor="text1"/>
          <w14:textFill>
            <w14:solidFill>
              <w14:schemeClr w14:val="tx1"/>
            </w14:solidFill>
          </w14:textFill>
        </w:rPr>
        <w:t>号</w:t>
      </w:r>
    </w:p>
    <w:p w14:paraId="06D892A7">
      <w:pPr>
        <w:pStyle w:val="18"/>
        <w:spacing w:after="520" w:line="543" w:lineRule="exact"/>
        <w:ind w:firstLine="0"/>
        <w:jc w:val="center"/>
        <w:rPr>
          <w:rFonts w:hint="eastAsia" w:ascii="仿宋" w:hAnsi="仿宋" w:eastAsia="仿宋" w:cs="Times New Roman"/>
          <w:color w:val="0000FF"/>
        </w:rPr>
      </w:pPr>
      <w:r>
        <w:rPr>
          <w:rFonts w:hint="eastAsia" w:ascii="宋体" w:hAnsi="宋体" w:eastAsia="宋体" w:cs="宋体"/>
          <w:b/>
          <w:bCs/>
          <w:color w:val="auto"/>
          <w:sz w:val="44"/>
          <w:szCs w:val="44"/>
        </w:rPr>
        <w:t>关于《</w:t>
      </w:r>
      <w:r>
        <w:rPr>
          <w:rFonts w:hint="eastAsia" w:ascii="宋体" w:hAnsi="宋体" w:eastAsia="宋体" w:cs="宋体"/>
          <w:b/>
          <w:bCs/>
          <w:color w:val="auto"/>
          <w:sz w:val="44"/>
          <w:szCs w:val="44"/>
          <w:lang w:eastAsia="zh-CN"/>
        </w:rPr>
        <w:t>湖南深湘科技</w:t>
      </w:r>
      <w:r>
        <w:rPr>
          <w:rFonts w:hint="eastAsia" w:ascii="宋体" w:hAnsi="宋体" w:eastAsia="宋体" w:cs="宋体"/>
          <w:b/>
          <w:bCs/>
          <w:color w:val="auto"/>
          <w:sz w:val="44"/>
          <w:szCs w:val="44"/>
          <w:lang w:val="en-US" w:eastAsia="zh-CN"/>
        </w:rPr>
        <w:t>有限公司</w:t>
      </w:r>
      <w:r>
        <w:rPr>
          <w:rFonts w:hint="eastAsia" w:ascii="宋体" w:hAnsi="宋体" w:eastAsia="宋体" w:cs="宋体"/>
          <w:b/>
          <w:bCs/>
          <w:color w:val="auto"/>
          <w:sz w:val="44"/>
          <w:szCs w:val="44"/>
          <w:lang w:eastAsia="zh-CN"/>
        </w:rPr>
        <w:t>注塑成型项目</w:t>
      </w:r>
      <w:r>
        <w:rPr>
          <w:rFonts w:hint="eastAsia" w:ascii="宋体" w:hAnsi="宋体" w:eastAsia="宋体" w:cs="宋体"/>
          <w:b/>
          <w:bCs/>
          <w:color w:val="auto"/>
          <w:sz w:val="44"/>
          <w:szCs w:val="44"/>
        </w:rPr>
        <w:t>环境影响报告</w:t>
      </w:r>
      <w:bookmarkStart w:id="0" w:name="_GoBack"/>
      <w:bookmarkEnd w:id="0"/>
      <w:r>
        <w:rPr>
          <w:rFonts w:hint="eastAsia" w:ascii="宋体" w:hAnsi="宋体" w:eastAsia="宋体" w:cs="宋体"/>
          <w:b/>
          <w:bCs/>
          <w:color w:val="auto"/>
          <w:sz w:val="44"/>
          <w:szCs w:val="44"/>
        </w:rPr>
        <w:t>表》的审批意见</w:t>
      </w:r>
    </w:p>
    <w:p w14:paraId="24AE4BA8">
      <w:pPr>
        <w:spacing w:line="360" w:lineRule="auto"/>
        <w:jc w:val="both"/>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湖南深湘科技有限公司：</w:t>
      </w:r>
    </w:p>
    <w:p w14:paraId="4D993217">
      <w:pPr>
        <w:pStyle w:val="18"/>
        <w:tabs>
          <w:tab w:val="left" w:pos="1244"/>
        </w:tabs>
        <w:spacing w:line="552" w:lineRule="exact"/>
        <w:ind w:firstLine="66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你公司报批由湖南湘军生态环境科技有限公司编制的《湖南深湘科技有限公司注塑成型项目环境影响报告表》（以下简称报告表）及相关附件已收悉。根据专家评审意见及环评报告结论，经研究，提出以下审批意见：</w:t>
      </w:r>
    </w:p>
    <w:p w14:paraId="09236FD4">
      <w:pPr>
        <w:autoSpaceDE w:val="0"/>
        <w:autoSpaceDN w:val="0"/>
        <w:spacing w:line="360" w:lineRule="auto"/>
        <w:ind w:firstLine="640" w:firstLineChars="200"/>
        <w:jc w:val="left"/>
        <w:textAlignment w:val="baseline"/>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湖南深湘科技有限公司拟投资100万元（其中环保投资26万元，约占总投资的26%），选址于湖南省湘潭市湘乡市经济开发区文昌路20号，建设湖南深湘科技有限公司注塑成型项目。本项目租赁湖南聚永金属制品有限公司已建闲置厂房，总占地面积为1100㎡，建筑面积为1100㎡，共1层。主要建设内容为：注塑生产区、原料暂存区、成品暂存区、办公区、危废暂存间、破碎区等。本项目建成后，年生产100万个墙面开关塑胶配件和100万个水、电表塑胶配件。本项目主要设备为注塑机8台、机械手6台、空气压缩机1台、干燥机7台、洗料机7台、粉碎机3台、拌料机2台、环保风机2台等；主要原辅材料包括PC（聚碳酸酯）塑料300t/a、PP（聚丙烯）塑料300t/a、色母100t/a、纸箱1000个等。项目生产工艺流程为：投入PC（聚碳酸酯）塑料、PP（聚丙烯）塑料</w:t>
      </w:r>
      <w:r>
        <w:rPr>
          <w:rFonts w:hint="default" w:ascii="Arial" w:hAnsi="Arial" w:eastAsia="仿宋" w:cs="Arial"/>
          <w:color w:val="auto"/>
          <w:sz w:val="32"/>
          <w:szCs w:val="32"/>
          <w:lang w:val="en-US" w:eastAsia="zh-CN"/>
        </w:rPr>
        <w:t>→</w:t>
      </w:r>
      <w:r>
        <w:rPr>
          <w:rFonts w:hint="eastAsia" w:ascii="仿宋" w:hAnsi="仿宋" w:eastAsia="仿宋" w:cs="仿宋"/>
          <w:color w:val="auto"/>
          <w:sz w:val="32"/>
          <w:szCs w:val="32"/>
          <w:lang w:val="en-US" w:eastAsia="zh-CN"/>
        </w:rPr>
        <w:t>烘干</w:t>
      </w:r>
      <w:r>
        <w:rPr>
          <w:rFonts w:hint="default" w:ascii="Arial" w:hAnsi="Arial" w:eastAsia="仿宋" w:cs="Arial"/>
          <w:color w:val="auto"/>
          <w:sz w:val="32"/>
          <w:szCs w:val="32"/>
          <w:lang w:val="en-US" w:eastAsia="zh-CN"/>
        </w:rPr>
        <w:t>→</w:t>
      </w:r>
      <w:r>
        <w:rPr>
          <w:rFonts w:hint="eastAsia" w:ascii="仿宋" w:hAnsi="仿宋" w:eastAsia="仿宋" w:cs="仿宋"/>
          <w:color w:val="auto"/>
          <w:sz w:val="32"/>
          <w:szCs w:val="32"/>
          <w:lang w:val="en-US" w:eastAsia="zh-CN"/>
        </w:rPr>
        <w:t>搅拌混料</w:t>
      </w:r>
      <w:r>
        <w:rPr>
          <w:rFonts w:hint="default" w:ascii="Arial" w:hAnsi="Arial" w:eastAsia="仿宋" w:cs="Arial"/>
          <w:color w:val="auto"/>
          <w:sz w:val="32"/>
          <w:szCs w:val="32"/>
          <w:lang w:val="en-US" w:eastAsia="zh-CN"/>
        </w:rPr>
        <w:t>→</w:t>
      </w:r>
      <w:r>
        <w:rPr>
          <w:rFonts w:hint="eastAsia" w:ascii="仿宋" w:hAnsi="仿宋" w:eastAsia="仿宋" w:cs="仿宋"/>
          <w:color w:val="auto"/>
          <w:sz w:val="32"/>
          <w:szCs w:val="32"/>
          <w:lang w:val="en-US" w:eastAsia="zh-CN"/>
        </w:rPr>
        <w:t>注塑成型</w:t>
      </w:r>
      <w:r>
        <w:rPr>
          <w:rFonts w:hint="default" w:ascii="Arial" w:hAnsi="Arial" w:eastAsia="仿宋" w:cs="Arial"/>
          <w:color w:val="auto"/>
          <w:sz w:val="32"/>
          <w:szCs w:val="32"/>
          <w:lang w:val="en-US" w:eastAsia="zh-CN"/>
        </w:rPr>
        <w:t>→</w:t>
      </w:r>
      <w:r>
        <w:rPr>
          <w:rFonts w:hint="eastAsia" w:ascii="仿宋" w:hAnsi="仿宋" w:eastAsia="仿宋" w:cs="仿宋"/>
          <w:color w:val="auto"/>
          <w:sz w:val="32"/>
          <w:szCs w:val="32"/>
          <w:lang w:val="en-US" w:eastAsia="zh-CN"/>
        </w:rPr>
        <w:t>检验</w:t>
      </w:r>
      <w:r>
        <w:rPr>
          <w:rFonts w:hint="default" w:ascii="Arial" w:hAnsi="Arial" w:eastAsia="仿宋" w:cs="Arial"/>
          <w:color w:val="auto"/>
          <w:sz w:val="32"/>
          <w:szCs w:val="32"/>
          <w:lang w:val="en-US" w:eastAsia="zh-CN"/>
        </w:rPr>
        <w:t>→</w:t>
      </w:r>
      <w:r>
        <w:rPr>
          <w:rFonts w:hint="eastAsia" w:ascii="仿宋" w:hAnsi="仿宋" w:eastAsia="仿宋" w:cs="仿宋"/>
          <w:color w:val="auto"/>
          <w:sz w:val="32"/>
          <w:szCs w:val="32"/>
          <w:lang w:val="en-US" w:eastAsia="zh-CN"/>
        </w:rPr>
        <w:t>包装入库，其中手工修边整理产生的边角料、质检产生的不合格品经粉碎机粉碎与外购的原料粒子以一定比例进行搅拌混合，混合后的粒子回用于生产。项目预计于2025年12月建成投入使用。</w:t>
      </w:r>
    </w:p>
    <w:p w14:paraId="2F85D8D4">
      <w:pPr>
        <w:pStyle w:val="18"/>
        <w:tabs>
          <w:tab w:val="left" w:pos="1244"/>
        </w:tabs>
        <w:spacing w:line="552" w:lineRule="exact"/>
        <w:ind w:firstLine="660"/>
        <w:jc w:val="both"/>
        <w:rPr>
          <w:rFonts w:hint="eastAsia" w:ascii="仿宋" w:hAnsi="仿宋" w:eastAsia="仿宋" w:cs="仿宋"/>
          <w:color w:val="auto"/>
          <w:sz w:val="32"/>
          <w:szCs w:val="32"/>
          <w:lang w:val="en-US" w:eastAsia="zh-CN" w:bidi="en-US"/>
        </w:rPr>
      </w:pPr>
      <w:r>
        <w:rPr>
          <w:rFonts w:hint="eastAsia" w:ascii="仿宋" w:hAnsi="仿宋" w:eastAsia="仿宋" w:cs="仿宋"/>
          <w:color w:val="auto"/>
          <w:sz w:val="32"/>
          <w:szCs w:val="32"/>
          <w:lang w:val="en-US" w:eastAsia="zh-CN" w:bidi="en-US"/>
        </w:rPr>
        <w:t>该项目建设符合国家相关产业政策，选址符合相关规划及湘潭市生态环境分区管控要求，根据项目环评文件结论，在严格落实报告表及批复提出的环保措施，切实做好污染防治及风险防范工作的前提下，从环境保护的角度分析，我局同意该项目按报告表中内容在建设地点建设。</w:t>
      </w:r>
    </w:p>
    <w:p w14:paraId="3CDC1B6D">
      <w:pPr>
        <w:pStyle w:val="18"/>
        <w:tabs>
          <w:tab w:val="left" w:pos="1244"/>
        </w:tabs>
        <w:spacing w:line="552" w:lineRule="exact"/>
        <w:ind w:firstLine="660"/>
        <w:jc w:val="both"/>
        <w:rPr>
          <w:rFonts w:hint="eastAsia" w:ascii="仿宋" w:hAnsi="仿宋" w:eastAsia="仿宋" w:cs="仿宋"/>
          <w:color w:val="auto"/>
          <w:sz w:val="32"/>
          <w:szCs w:val="32"/>
          <w:lang w:val="en-US" w:eastAsia="zh-CN" w:bidi="en-US"/>
        </w:rPr>
      </w:pPr>
      <w:r>
        <w:rPr>
          <w:rFonts w:hint="eastAsia" w:ascii="仿宋" w:hAnsi="仿宋" w:eastAsia="仿宋" w:cs="仿宋"/>
          <w:color w:val="auto"/>
          <w:sz w:val="32"/>
          <w:szCs w:val="32"/>
          <w:lang w:val="en-US" w:eastAsia="zh-CN" w:bidi="en-US"/>
        </w:rPr>
        <w:t>二、在项目营运期间，建设单位必须落实环评报告表提出的各项环保要求，确保各项污染物稳定达标排放，并须着重做好以下工作：</w:t>
      </w:r>
    </w:p>
    <w:p w14:paraId="1BEA0FE5">
      <w:pPr>
        <w:pStyle w:val="22"/>
        <w:widowControl/>
        <w:kinsoku w:val="0"/>
        <w:autoSpaceDE w:val="0"/>
        <w:autoSpaceDN w:val="0"/>
        <w:spacing w:line="360" w:lineRule="auto"/>
        <w:ind w:firstLine="640" w:firstLineChars="200"/>
        <w:textAlignment w:val="baseline"/>
        <w:rPr>
          <w:rFonts w:hint="eastAsia" w:ascii="仿宋" w:hAnsi="仿宋" w:eastAsia="仿宋" w:cs="仿宋"/>
          <w:color w:val="auto"/>
          <w:sz w:val="32"/>
          <w:szCs w:val="32"/>
          <w:lang w:val="en-US" w:eastAsia="zh-CN" w:bidi="en-US"/>
        </w:rPr>
      </w:pPr>
      <w:r>
        <w:rPr>
          <w:rFonts w:hint="eastAsia" w:ascii="仿宋" w:hAnsi="仿宋" w:eastAsia="仿宋" w:cs="仿宋"/>
          <w:color w:val="auto"/>
          <w:sz w:val="32"/>
          <w:szCs w:val="32"/>
          <w:lang w:val="en-US" w:eastAsia="zh-CN" w:bidi="en-US"/>
        </w:rPr>
        <w:t>1.水污染防治工作。本项目冷却水循环使用，不外排。生活污水经已建的化粪池处理后达到《污水综合排放标准》（GB8978-1996）表4中三级标准进水水质标准进入湘乡市红仑污水处理厂深度处理。</w:t>
      </w:r>
    </w:p>
    <w:p w14:paraId="059C5D51">
      <w:pPr>
        <w:pStyle w:val="18"/>
        <w:tabs>
          <w:tab w:val="left" w:pos="1244"/>
        </w:tabs>
        <w:spacing w:line="552" w:lineRule="exact"/>
        <w:ind w:firstLine="66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大气污染防治工作。项目营运期</w:t>
      </w:r>
      <w:r>
        <w:rPr>
          <w:rFonts w:hint="eastAsia" w:ascii="仿宋" w:hAnsi="仿宋" w:eastAsia="仿宋" w:cs="仿宋"/>
          <w:color w:val="auto"/>
          <w:sz w:val="32"/>
          <w:szCs w:val="32"/>
          <w:lang w:val="en-US" w:eastAsia="zh-CN"/>
        </w:rPr>
        <w:t>注塑废气</w:t>
      </w:r>
      <w:r>
        <w:rPr>
          <w:rFonts w:hint="eastAsia" w:ascii="仿宋" w:hAnsi="仿宋" w:eastAsia="仿宋" w:cs="仿宋"/>
          <w:color w:val="auto"/>
          <w:sz w:val="32"/>
          <w:szCs w:val="32"/>
          <w:lang w:eastAsia="zh-CN"/>
        </w:rPr>
        <w:t>设置集气罩两侧设置垂帘，经“二级活性炭吸附装置”处理后经排气筒排放，有组织排放的挥发性有机物</w:t>
      </w:r>
      <w:r>
        <w:rPr>
          <w:rFonts w:hint="eastAsia" w:ascii="仿宋" w:hAnsi="仿宋" w:eastAsia="仿宋" w:cs="仿宋"/>
          <w:color w:val="auto"/>
          <w:sz w:val="32"/>
          <w:szCs w:val="32"/>
          <w:lang w:val="en-US" w:eastAsia="zh-CN"/>
        </w:rPr>
        <w:t>须达到</w:t>
      </w:r>
      <w:r>
        <w:rPr>
          <w:rFonts w:hint="eastAsia" w:ascii="仿宋" w:hAnsi="仿宋" w:eastAsia="仿宋" w:cs="仿宋"/>
          <w:color w:val="auto"/>
          <w:sz w:val="32"/>
          <w:szCs w:val="32"/>
          <w:lang w:eastAsia="zh-CN"/>
        </w:rPr>
        <w:t>《合成树脂工业污染物排放标准》（GB31572-2015，含2024年修改单）表4相关标准限值；厂界无组织排放的挥发性有机物和颗粒物</w:t>
      </w:r>
      <w:r>
        <w:rPr>
          <w:rFonts w:hint="eastAsia" w:ascii="仿宋" w:hAnsi="仿宋" w:eastAsia="仿宋" w:cs="仿宋"/>
          <w:color w:val="auto"/>
          <w:sz w:val="32"/>
          <w:szCs w:val="32"/>
          <w:lang w:val="en-US" w:eastAsia="zh-CN"/>
        </w:rPr>
        <w:t>须达到</w:t>
      </w:r>
      <w:r>
        <w:rPr>
          <w:rFonts w:hint="eastAsia" w:ascii="仿宋" w:hAnsi="仿宋" w:eastAsia="仿宋" w:cs="仿宋"/>
          <w:color w:val="auto"/>
          <w:sz w:val="32"/>
          <w:szCs w:val="32"/>
          <w:lang w:eastAsia="zh-CN"/>
        </w:rPr>
        <w:t>《合成树脂工业污染物排放标准》（GB31572-2015，及含2024年修改单）表9相关标准限值，臭气浓度参照执行《恶臭污染物排放标准》（GB14554-93）表</w:t>
      </w:r>
      <w:r>
        <w:rPr>
          <w:rFonts w:hint="eastAsia" w:ascii="仿宋" w:hAnsi="仿宋" w:eastAsia="仿宋" w:cs="仿宋"/>
          <w:color w:val="auto"/>
          <w:sz w:val="32"/>
          <w:szCs w:val="32"/>
          <w:lang w:val="en-US" w:eastAsia="zh-CN"/>
        </w:rPr>
        <w:t>2排放标准限值</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厂房</w:t>
      </w:r>
      <w:r>
        <w:rPr>
          <w:rFonts w:hint="eastAsia" w:ascii="仿宋" w:hAnsi="仿宋" w:eastAsia="仿宋" w:cs="仿宋"/>
          <w:color w:val="auto"/>
          <w:sz w:val="32"/>
          <w:szCs w:val="32"/>
          <w:lang w:eastAsia="zh-CN"/>
        </w:rPr>
        <w:t>外挥发性有机物监控点</w:t>
      </w:r>
      <w:r>
        <w:rPr>
          <w:rFonts w:hint="eastAsia" w:ascii="仿宋" w:hAnsi="仿宋" w:eastAsia="仿宋" w:cs="仿宋"/>
          <w:color w:val="auto"/>
          <w:sz w:val="32"/>
          <w:szCs w:val="32"/>
          <w:lang w:val="en-US" w:eastAsia="zh-CN"/>
        </w:rPr>
        <w:t>须达到</w:t>
      </w:r>
      <w:r>
        <w:rPr>
          <w:rFonts w:hint="eastAsia" w:ascii="仿宋" w:hAnsi="仿宋" w:eastAsia="仿宋" w:cs="仿宋"/>
          <w:color w:val="auto"/>
          <w:sz w:val="32"/>
          <w:szCs w:val="32"/>
          <w:lang w:eastAsia="zh-CN"/>
        </w:rPr>
        <w:t>《挥发性有机物无组织排放控制标准》（GB37822-2019）附录A中表A.1限值。破碎粉尘</w:t>
      </w:r>
      <w:r>
        <w:rPr>
          <w:rFonts w:hint="eastAsia" w:ascii="仿宋" w:hAnsi="仿宋" w:eastAsia="仿宋" w:cs="仿宋"/>
          <w:color w:val="auto"/>
          <w:sz w:val="32"/>
          <w:szCs w:val="32"/>
          <w:lang w:val="en-US" w:eastAsia="zh-CN"/>
        </w:rPr>
        <w:t>采用布袋收尘器处理</w:t>
      </w:r>
      <w:r>
        <w:rPr>
          <w:rFonts w:hint="eastAsia" w:ascii="仿宋" w:hAnsi="仿宋" w:eastAsia="仿宋" w:cs="仿宋"/>
          <w:color w:val="auto"/>
          <w:sz w:val="32"/>
          <w:szCs w:val="32"/>
          <w:lang w:eastAsia="zh-CN"/>
        </w:rPr>
        <w:t>。</w:t>
      </w:r>
    </w:p>
    <w:p w14:paraId="3A1DE30B">
      <w:pPr>
        <w:pStyle w:val="18"/>
        <w:tabs>
          <w:tab w:val="left" w:pos="1244"/>
        </w:tabs>
        <w:spacing w:line="552" w:lineRule="exact"/>
        <w:ind w:firstLine="66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噪声污染防治工作。选择低噪声设备，采取建筑隔声、加减振垫、风机安装消声器等确保厂界噪声执行《工业企业厂界环境噪声排放标准》（GB12348-2008）中的3类</w:t>
      </w:r>
      <w:r>
        <w:rPr>
          <w:rFonts w:hint="eastAsia" w:ascii="仿宋" w:hAnsi="仿宋" w:eastAsia="仿宋" w:cs="仿宋"/>
          <w:color w:val="auto"/>
          <w:sz w:val="32"/>
          <w:szCs w:val="32"/>
          <w:lang w:val="en-US" w:eastAsia="zh-CN"/>
        </w:rPr>
        <w:t>标准</w:t>
      </w:r>
      <w:r>
        <w:rPr>
          <w:rFonts w:hint="eastAsia" w:ascii="仿宋" w:hAnsi="仿宋" w:eastAsia="仿宋" w:cs="仿宋"/>
          <w:color w:val="auto"/>
          <w:sz w:val="32"/>
          <w:szCs w:val="32"/>
          <w:lang w:eastAsia="zh-CN"/>
        </w:rPr>
        <w:t>限值。</w:t>
      </w:r>
    </w:p>
    <w:p w14:paraId="279BFD0E">
      <w:pPr>
        <w:pStyle w:val="18"/>
        <w:tabs>
          <w:tab w:val="left" w:pos="1244"/>
        </w:tabs>
        <w:spacing w:line="552" w:lineRule="exact"/>
        <w:ind w:firstLine="66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固废污染防治工作。废包装材料</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报废模具</w:t>
      </w:r>
      <w:r>
        <w:rPr>
          <w:rFonts w:hint="eastAsia" w:ascii="仿宋" w:hAnsi="仿宋" w:eastAsia="仿宋" w:cs="仿宋"/>
          <w:color w:val="auto"/>
          <w:sz w:val="32"/>
          <w:szCs w:val="32"/>
          <w:lang w:eastAsia="zh-CN"/>
        </w:rPr>
        <w:t>为一般固废，</w:t>
      </w:r>
      <w:r>
        <w:rPr>
          <w:rFonts w:hint="eastAsia" w:ascii="仿宋" w:hAnsi="仿宋" w:eastAsia="仿宋" w:cs="仿宋"/>
          <w:color w:val="auto"/>
          <w:sz w:val="32"/>
          <w:szCs w:val="32"/>
          <w:lang w:val="en-US" w:eastAsia="zh-CN"/>
        </w:rPr>
        <w:t>一般固体废物执行</w:t>
      </w:r>
      <w:r>
        <w:rPr>
          <w:rFonts w:hint="eastAsia" w:ascii="仿宋" w:hAnsi="仿宋" w:eastAsia="仿宋" w:cs="仿宋"/>
          <w:color w:val="auto"/>
          <w:sz w:val="32"/>
          <w:szCs w:val="32"/>
        </w:rPr>
        <w:t>《一般工业固体废物贮存和填埋污染控制标准》(GB18599-2020)</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废液压油</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废润滑油</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废油桶</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废活性炭</w:t>
      </w:r>
      <w:r>
        <w:rPr>
          <w:rFonts w:hint="eastAsia" w:ascii="仿宋" w:hAnsi="仿宋" w:eastAsia="仿宋" w:cs="仿宋"/>
          <w:color w:val="auto"/>
          <w:sz w:val="32"/>
          <w:szCs w:val="32"/>
          <w:lang w:eastAsia="zh-CN"/>
        </w:rPr>
        <w:t>、废含油抹布及手套等各类</w:t>
      </w:r>
      <w:r>
        <w:rPr>
          <w:rFonts w:hint="eastAsia" w:ascii="仿宋" w:hAnsi="仿宋" w:eastAsia="仿宋" w:cs="仿宋"/>
          <w:color w:val="auto"/>
          <w:sz w:val="32"/>
          <w:szCs w:val="32"/>
          <w:lang w:val="en-US" w:eastAsia="zh-CN"/>
        </w:rPr>
        <w:t>危险废物须按照《危险废物贮存污染控制标准》（GB18597-2023）中要求暂存于危废暂存间，交由有资质单位进行处理，危废暂存间须设置在厂房内并做好防渗、防腐等措施后分类存放并建立相关台账，并规范设立标识标牌；生活垃圾经分类收集后定期交由环卫部门妥善处理。</w:t>
      </w:r>
    </w:p>
    <w:p w14:paraId="2647D6AF">
      <w:pPr>
        <w:pStyle w:val="18"/>
        <w:tabs>
          <w:tab w:val="left" w:pos="1172"/>
        </w:tabs>
        <w:spacing w:line="552" w:lineRule="exact"/>
        <w:ind w:firstLine="66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环境风险防范工作。加强生产和环保管理，提高清洁生产水平，设置专职环保管理人员，落实环保设施管理责任。注意环保设施的日常维护，制定相关</w:t>
      </w:r>
      <w:r>
        <w:rPr>
          <w:rFonts w:hint="eastAsia" w:ascii="仿宋" w:hAnsi="仿宋" w:eastAsia="仿宋" w:cs="仿宋"/>
          <w:color w:val="auto"/>
          <w:sz w:val="32"/>
          <w:szCs w:val="32"/>
          <w:lang w:val="en-US" w:eastAsia="zh-CN"/>
        </w:rPr>
        <w:t>规章制度，确保各项环保设施稳定运行。</w:t>
      </w:r>
    </w:p>
    <w:p w14:paraId="01303E9D">
      <w:pPr>
        <w:pStyle w:val="18"/>
        <w:tabs>
          <w:tab w:val="left" w:pos="1244"/>
        </w:tabs>
        <w:spacing w:line="552" w:lineRule="exact"/>
        <w:ind w:firstLine="66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三</w:t>
      </w:r>
      <w:r>
        <w:rPr>
          <w:rFonts w:hint="eastAsia" w:ascii="仿宋" w:hAnsi="仿宋" w:eastAsia="仿宋" w:cs="仿宋"/>
          <w:color w:val="auto"/>
          <w:sz w:val="32"/>
          <w:szCs w:val="32"/>
        </w:rPr>
        <w:t>、项目实</w:t>
      </w:r>
      <w:r>
        <w:rPr>
          <w:rFonts w:hint="eastAsia" w:ascii="Times New Roman" w:hAnsi="Times New Roman" w:eastAsia="仿宋_GB2312"/>
          <w:sz w:val="32"/>
          <w:szCs w:val="32"/>
          <w:highlight w:val="none"/>
          <w:lang w:val="en-US" w:eastAsia="zh-CN"/>
        </w:rPr>
        <w:t>行污染物排放总量控制</w:t>
      </w:r>
      <w:r>
        <w:rPr>
          <w:rFonts w:hint="eastAsia" w:ascii="仿宋" w:hAnsi="仿宋" w:eastAsia="仿宋" w:cs="仿宋"/>
          <w:color w:val="auto"/>
          <w:sz w:val="32"/>
          <w:szCs w:val="32"/>
        </w:rPr>
        <w:t>，主要污染物总量指标为：VOCs≤1.107t/a</w:t>
      </w:r>
      <w:r>
        <w:rPr>
          <w:rFonts w:hint="eastAsia" w:ascii="仿宋" w:hAnsi="仿宋" w:eastAsia="仿宋" w:cs="仿宋"/>
          <w:color w:val="auto"/>
          <w:sz w:val="32"/>
          <w:szCs w:val="32"/>
          <w:lang w:eastAsia="zh-CN"/>
        </w:rPr>
        <w:t>。</w:t>
      </w:r>
    </w:p>
    <w:p w14:paraId="32DEC109">
      <w:pPr>
        <w:pStyle w:val="18"/>
        <w:tabs>
          <w:tab w:val="left" w:pos="1244"/>
        </w:tabs>
        <w:spacing w:line="552" w:lineRule="exact"/>
        <w:ind w:firstLine="66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四</w:t>
      </w:r>
      <w:r>
        <w:rPr>
          <w:rFonts w:hint="eastAsia" w:ascii="仿宋" w:hAnsi="仿宋" w:eastAsia="仿宋" w:cs="仿宋"/>
          <w:color w:val="auto"/>
          <w:sz w:val="32"/>
          <w:szCs w:val="32"/>
        </w:rPr>
        <w:t>、项目各项污染治理设施</w:t>
      </w:r>
      <w:r>
        <w:rPr>
          <w:rFonts w:hint="eastAsia" w:ascii="仿宋" w:hAnsi="仿宋" w:eastAsia="仿宋" w:cs="仿宋"/>
          <w:color w:val="auto"/>
          <w:sz w:val="32"/>
          <w:szCs w:val="32"/>
          <w:lang w:eastAsia="zh-CN"/>
        </w:rPr>
        <w:t>须</w:t>
      </w:r>
      <w:r>
        <w:rPr>
          <w:rFonts w:hint="eastAsia" w:ascii="仿宋" w:hAnsi="仿宋" w:eastAsia="仿宋" w:cs="仿宋"/>
          <w:color w:val="auto"/>
          <w:sz w:val="32"/>
          <w:szCs w:val="32"/>
        </w:rPr>
        <w:t>经验收合格后方能正式投入使用。</w:t>
      </w:r>
    </w:p>
    <w:p w14:paraId="26A0525C">
      <w:pPr>
        <w:pStyle w:val="18"/>
        <w:tabs>
          <w:tab w:val="left" w:pos="1256"/>
        </w:tabs>
        <w:spacing w:line="576" w:lineRule="exact"/>
        <w:ind w:firstLine="66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五</w:t>
      </w:r>
      <w:r>
        <w:rPr>
          <w:rFonts w:hint="eastAsia" w:ascii="仿宋" w:hAnsi="仿宋" w:eastAsia="仿宋" w:cs="仿宋"/>
          <w:color w:val="auto"/>
          <w:sz w:val="32"/>
          <w:szCs w:val="32"/>
        </w:rPr>
        <w:t>、项目运营期日常监督和管理由</w:t>
      </w:r>
      <w:r>
        <w:rPr>
          <w:rFonts w:hint="eastAsia" w:ascii="Times New Roman" w:hAnsi="Times New Roman" w:eastAsia="仿宋_GB2312"/>
          <w:sz w:val="32"/>
          <w:szCs w:val="32"/>
          <w:highlight w:val="none"/>
          <w:lang w:val="en-US" w:eastAsia="zh-CN"/>
        </w:rPr>
        <w:t>湘乡市生态环境保护综合行政执法大队</w:t>
      </w:r>
      <w:r>
        <w:rPr>
          <w:rFonts w:hint="eastAsia" w:ascii="仿宋" w:hAnsi="仿宋" w:eastAsia="仿宋" w:cs="仿宋"/>
          <w:color w:val="auto"/>
          <w:sz w:val="32"/>
          <w:szCs w:val="32"/>
        </w:rPr>
        <w:t>负责。</w:t>
      </w:r>
    </w:p>
    <w:p w14:paraId="6F845B76">
      <w:pPr>
        <w:pStyle w:val="18"/>
        <w:tabs>
          <w:tab w:val="left" w:pos="1246"/>
        </w:tabs>
        <w:spacing w:after="460" w:line="571" w:lineRule="exact"/>
        <w:ind w:firstLine="66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六</w:t>
      </w:r>
      <w:r>
        <w:rPr>
          <w:rFonts w:hint="eastAsia" w:ascii="仿宋" w:hAnsi="仿宋" w:eastAsia="仿宋" w:cs="仿宋"/>
          <w:color w:val="auto"/>
          <w:sz w:val="32"/>
          <w:szCs w:val="32"/>
        </w:rPr>
        <w:t>、项目建设的性质、规模、地点、采用的生产工艺和防治污染、防止生态破坏的措施发生重大变动的，须向我局重新报批该项目环境影响评价文件。</w:t>
      </w:r>
    </w:p>
    <w:p w14:paraId="43B5C3BA">
      <w:pPr>
        <w:spacing w:line="360" w:lineRule="auto"/>
        <w:ind w:firstLine="600"/>
        <w:jc w:val="center"/>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lang w:eastAsia="zh-CN"/>
        </w:rPr>
        <w:t>湘潭市生态环境局</w:t>
      </w:r>
    </w:p>
    <w:p w14:paraId="2F22908F">
      <w:pPr>
        <w:spacing w:line="360" w:lineRule="auto"/>
        <w:ind w:firstLine="600"/>
        <w:jc w:val="center"/>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lang w:eastAsia="zh-CN"/>
        </w:rPr>
        <w:t>2025年</w:t>
      </w:r>
      <w:r>
        <w:rPr>
          <w:rFonts w:hint="eastAsia" w:ascii="仿宋" w:hAnsi="仿宋" w:eastAsia="仿宋" w:cs="仿宋"/>
          <w:color w:val="auto"/>
          <w:sz w:val="32"/>
          <w:szCs w:val="32"/>
          <w:lang w:val="en-US" w:eastAsia="zh-CN"/>
        </w:rPr>
        <w:t>11</w:t>
      </w:r>
      <w:r>
        <w:rPr>
          <w:rFonts w:hint="eastAsia" w:ascii="仿宋" w:hAnsi="仿宋" w:eastAsia="仿宋" w:cs="仿宋"/>
          <w:color w:val="auto"/>
          <w:sz w:val="32"/>
          <w:szCs w:val="32"/>
          <w:lang w:eastAsia="zh-CN"/>
        </w:rPr>
        <w:t>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D08122D"/>
    <w:multiLevelType w:val="singleLevel"/>
    <w:tmpl w:val="6D08122D"/>
    <w:lvl w:ilvl="0" w:tentative="0">
      <w:start w:val="1"/>
      <w:numFmt w:val="bullet"/>
      <w:pStyle w:val="5"/>
      <w:lvlText w:val=""/>
      <w:lvlJc w:val="left"/>
      <w:pPr>
        <w:tabs>
          <w:tab w:val="left" w:pos="780"/>
        </w:tabs>
        <w:ind w:left="78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IzMDFiZDU4MGJmYWU0ZmJjYjRkZGYwZWZhMGU3ZjcifQ=="/>
  </w:docVars>
  <w:rsids>
    <w:rsidRoot w:val="027625DC"/>
    <w:rsid w:val="00037756"/>
    <w:rsid w:val="00047C42"/>
    <w:rsid w:val="0007578E"/>
    <w:rsid w:val="00151EC5"/>
    <w:rsid w:val="0018369B"/>
    <w:rsid w:val="002548C8"/>
    <w:rsid w:val="002B0F8E"/>
    <w:rsid w:val="002C244A"/>
    <w:rsid w:val="002C50B7"/>
    <w:rsid w:val="003C3F77"/>
    <w:rsid w:val="003D7799"/>
    <w:rsid w:val="00506E8A"/>
    <w:rsid w:val="005C14A4"/>
    <w:rsid w:val="006057ED"/>
    <w:rsid w:val="00642F47"/>
    <w:rsid w:val="006D6A66"/>
    <w:rsid w:val="006F5A34"/>
    <w:rsid w:val="00716610"/>
    <w:rsid w:val="00783579"/>
    <w:rsid w:val="007C71A8"/>
    <w:rsid w:val="00817A83"/>
    <w:rsid w:val="0088731B"/>
    <w:rsid w:val="008B6156"/>
    <w:rsid w:val="00991164"/>
    <w:rsid w:val="009D33DC"/>
    <w:rsid w:val="009E277A"/>
    <w:rsid w:val="009E5500"/>
    <w:rsid w:val="009F04C5"/>
    <w:rsid w:val="00A060B8"/>
    <w:rsid w:val="00A4565F"/>
    <w:rsid w:val="00A54050"/>
    <w:rsid w:val="00A618A2"/>
    <w:rsid w:val="00B60A75"/>
    <w:rsid w:val="00B84CB2"/>
    <w:rsid w:val="00C31567"/>
    <w:rsid w:val="00C85F20"/>
    <w:rsid w:val="00C86B91"/>
    <w:rsid w:val="00CC2751"/>
    <w:rsid w:val="00D46347"/>
    <w:rsid w:val="00DE08B2"/>
    <w:rsid w:val="00DF6294"/>
    <w:rsid w:val="00FB1CC5"/>
    <w:rsid w:val="00FC290C"/>
    <w:rsid w:val="00FC4822"/>
    <w:rsid w:val="00FE4F8E"/>
    <w:rsid w:val="027625DC"/>
    <w:rsid w:val="02C62933"/>
    <w:rsid w:val="030C5A58"/>
    <w:rsid w:val="040C70B8"/>
    <w:rsid w:val="0482288A"/>
    <w:rsid w:val="048C54B6"/>
    <w:rsid w:val="05996F54"/>
    <w:rsid w:val="06532730"/>
    <w:rsid w:val="07D7113E"/>
    <w:rsid w:val="082A3964"/>
    <w:rsid w:val="08396A76"/>
    <w:rsid w:val="08DA6020"/>
    <w:rsid w:val="0B5A7D40"/>
    <w:rsid w:val="0BAF70CA"/>
    <w:rsid w:val="0CAD246E"/>
    <w:rsid w:val="0CF32581"/>
    <w:rsid w:val="0D612203"/>
    <w:rsid w:val="0DD85B76"/>
    <w:rsid w:val="12105979"/>
    <w:rsid w:val="13060208"/>
    <w:rsid w:val="13AC347F"/>
    <w:rsid w:val="13D604FC"/>
    <w:rsid w:val="14537D9F"/>
    <w:rsid w:val="14575AE1"/>
    <w:rsid w:val="160D5A96"/>
    <w:rsid w:val="167F30CD"/>
    <w:rsid w:val="19162CB4"/>
    <w:rsid w:val="196A1E12"/>
    <w:rsid w:val="1BFD51C0"/>
    <w:rsid w:val="1C686F72"/>
    <w:rsid w:val="1EE95587"/>
    <w:rsid w:val="1F133E26"/>
    <w:rsid w:val="1F6B0692"/>
    <w:rsid w:val="1FE873FE"/>
    <w:rsid w:val="20330215"/>
    <w:rsid w:val="2068609E"/>
    <w:rsid w:val="2107261C"/>
    <w:rsid w:val="22815CDC"/>
    <w:rsid w:val="24505CDB"/>
    <w:rsid w:val="25C91C6F"/>
    <w:rsid w:val="26DA0672"/>
    <w:rsid w:val="275859A0"/>
    <w:rsid w:val="27D72D69"/>
    <w:rsid w:val="289B07E6"/>
    <w:rsid w:val="29064F88"/>
    <w:rsid w:val="295B52D4"/>
    <w:rsid w:val="29676628"/>
    <w:rsid w:val="2A911C62"/>
    <w:rsid w:val="2CE61358"/>
    <w:rsid w:val="2FD656B4"/>
    <w:rsid w:val="321E1594"/>
    <w:rsid w:val="346046F4"/>
    <w:rsid w:val="34BC3DD0"/>
    <w:rsid w:val="38744170"/>
    <w:rsid w:val="39E4241F"/>
    <w:rsid w:val="3BDD60A8"/>
    <w:rsid w:val="3C1C4D96"/>
    <w:rsid w:val="3C3C43E7"/>
    <w:rsid w:val="410302D3"/>
    <w:rsid w:val="42017A7B"/>
    <w:rsid w:val="43A4148E"/>
    <w:rsid w:val="444A7FC7"/>
    <w:rsid w:val="450308A1"/>
    <w:rsid w:val="46050649"/>
    <w:rsid w:val="460C7C2A"/>
    <w:rsid w:val="47282CB4"/>
    <w:rsid w:val="474F4272"/>
    <w:rsid w:val="495F2766"/>
    <w:rsid w:val="4A3E05CE"/>
    <w:rsid w:val="4C1D78CA"/>
    <w:rsid w:val="4CF03E01"/>
    <w:rsid w:val="4D52686A"/>
    <w:rsid w:val="4D947439"/>
    <w:rsid w:val="5055056C"/>
    <w:rsid w:val="52920B25"/>
    <w:rsid w:val="53F8359B"/>
    <w:rsid w:val="568455BA"/>
    <w:rsid w:val="56C9121F"/>
    <w:rsid w:val="5877591C"/>
    <w:rsid w:val="59D86349"/>
    <w:rsid w:val="5BEF34D6"/>
    <w:rsid w:val="5C8F6A66"/>
    <w:rsid w:val="5D50269A"/>
    <w:rsid w:val="5D9205BD"/>
    <w:rsid w:val="5EEB267A"/>
    <w:rsid w:val="5F185838"/>
    <w:rsid w:val="601F3F2F"/>
    <w:rsid w:val="607B7A2E"/>
    <w:rsid w:val="61CD31F4"/>
    <w:rsid w:val="636E63A9"/>
    <w:rsid w:val="64582376"/>
    <w:rsid w:val="66404737"/>
    <w:rsid w:val="67044A5E"/>
    <w:rsid w:val="67AD229E"/>
    <w:rsid w:val="67FD6F7B"/>
    <w:rsid w:val="69981651"/>
    <w:rsid w:val="6D1B05CF"/>
    <w:rsid w:val="6EC95E08"/>
    <w:rsid w:val="71063344"/>
    <w:rsid w:val="739B0740"/>
    <w:rsid w:val="7589009F"/>
    <w:rsid w:val="75D73501"/>
    <w:rsid w:val="766C59F7"/>
    <w:rsid w:val="76766876"/>
    <w:rsid w:val="788259A6"/>
    <w:rsid w:val="79A33E26"/>
    <w:rsid w:val="7A21313C"/>
    <w:rsid w:val="7ADC41AD"/>
    <w:rsid w:val="7D711B45"/>
    <w:rsid w:val="7E704A8B"/>
    <w:rsid w:val="7F7168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qFormat="1"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Times New Roman" w:cs="Times New Roman"/>
      <w:color w:val="000000"/>
      <w:sz w:val="24"/>
      <w:szCs w:val="24"/>
      <w:lang w:val="en-US" w:eastAsia="en-US" w:bidi="en-US"/>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E-mail Signature"/>
    <w:basedOn w:val="1"/>
    <w:next w:val="3"/>
    <w:qFormat/>
    <w:uiPriority w:val="0"/>
    <w:pPr>
      <w:spacing w:line="460" w:lineRule="exact"/>
      <w:ind w:firstLine="200"/>
    </w:pPr>
    <w:rPr>
      <w:rFonts w:eastAsia="宋体"/>
    </w:rPr>
  </w:style>
  <w:style w:type="paragraph" w:customStyle="1" w:styleId="3">
    <w:name w:val="文章"/>
    <w:basedOn w:val="1"/>
    <w:next w:val="4"/>
    <w:qFormat/>
    <w:uiPriority w:val="0"/>
    <w:pPr>
      <w:widowControl/>
      <w:ind w:firstLine="480"/>
      <w:jc w:val="center"/>
    </w:pPr>
    <w:rPr>
      <w:rFonts w:eastAsia="宋体"/>
      <w:sz w:val="26"/>
    </w:rPr>
  </w:style>
  <w:style w:type="paragraph" w:styleId="4">
    <w:name w:val="List"/>
    <w:basedOn w:val="1"/>
    <w:next w:val="5"/>
    <w:qFormat/>
    <w:uiPriority w:val="0"/>
    <w:pPr>
      <w:widowControl/>
      <w:spacing w:line="425" w:lineRule="atLeast"/>
      <w:ind w:left="200" w:hanging="200" w:hangingChars="200"/>
      <w:textAlignment w:val="baseline"/>
    </w:pPr>
    <w:rPr>
      <w:rFonts w:ascii="Calibri" w:hAnsi="Calibri" w:eastAsia="宋体"/>
      <w:u w:color="000000"/>
    </w:rPr>
  </w:style>
  <w:style w:type="paragraph" w:styleId="5">
    <w:name w:val="List Bullet 2"/>
    <w:basedOn w:val="1"/>
    <w:next w:val="6"/>
    <w:qFormat/>
    <w:uiPriority w:val="0"/>
    <w:pPr>
      <w:numPr>
        <w:ilvl w:val="0"/>
        <w:numId w:val="1"/>
      </w:numPr>
    </w:pPr>
  </w:style>
  <w:style w:type="paragraph" w:customStyle="1" w:styleId="6">
    <w:name w:val="xl70"/>
    <w:basedOn w:val="1"/>
    <w:next w:val="7"/>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rPr>
  </w:style>
  <w:style w:type="paragraph" w:customStyle="1" w:styleId="7">
    <w:name w:val="正文缩进1"/>
    <w:basedOn w:val="1"/>
    <w:next w:val="8"/>
    <w:qFormat/>
    <w:uiPriority w:val="0"/>
    <w:pPr>
      <w:ind w:firstLine="420"/>
    </w:pPr>
    <w:rPr>
      <w:rFonts w:eastAsia="宋体"/>
    </w:rPr>
  </w:style>
  <w:style w:type="paragraph" w:customStyle="1" w:styleId="8">
    <w:name w:val="td1"/>
    <w:basedOn w:val="1"/>
    <w:next w:val="1"/>
    <w:qFormat/>
    <w:uiPriority w:val="0"/>
    <w:pPr>
      <w:widowControl/>
      <w:spacing w:before="280" w:after="280" w:line="300" w:lineRule="atLeast"/>
      <w:ind w:firstLine="200"/>
    </w:pPr>
    <w:rPr>
      <w:rFonts w:eastAsia="宋体"/>
      <w:sz w:val="18"/>
    </w:rPr>
  </w:style>
  <w:style w:type="paragraph" w:styleId="9">
    <w:name w:val="footer"/>
    <w:basedOn w:val="1"/>
    <w:link w:val="21"/>
    <w:qFormat/>
    <w:uiPriority w:val="0"/>
    <w:pPr>
      <w:tabs>
        <w:tab w:val="center" w:pos="4153"/>
        <w:tab w:val="right" w:pos="8306"/>
      </w:tabs>
      <w:snapToGrid w:val="0"/>
    </w:pPr>
    <w:rPr>
      <w:sz w:val="18"/>
      <w:szCs w:val="18"/>
    </w:rPr>
  </w:style>
  <w:style w:type="paragraph" w:styleId="10">
    <w:name w:val="header"/>
    <w:basedOn w:val="1"/>
    <w:link w:val="20"/>
    <w:qFormat/>
    <w:uiPriority w:val="0"/>
    <w:pPr>
      <w:tabs>
        <w:tab w:val="center" w:pos="4153"/>
        <w:tab w:val="right" w:pos="8306"/>
      </w:tabs>
      <w:snapToGrid w:val="0"/>
      <w:jc w:val="center"/>
    </w:pPr>
    <w:rPr>
      <w:sz w:val="18"/>
      <w:szCs w:val="18"/>
    </w:rPr>
  </w:style>
  <w:style w:type="paragraph" w:styleId="11">
    <w:name w:val="toc 2"/>
    <w:basedOn w:val="1"/>
    <w:next w:val="2"/>
    <w:qFormat/>
    <w:uiPriority w:val="0"/>
    <w:pPr>
      <w:tabs>
        <w:tab w:val="left" w:pos="1021"/>
      </w:tabs>
      <w:ind w:left="420" w:leftChars="200"/>
    </w:pPr>
    <w:rPr>
      <w:rFonts w:ascii="宋体" w:hAnsi="宋体" w:eastAsia="宋体"/>
      <w:b/>
    </w:rPr>
  </w:style>
  <w:style w:type="paragraph" w:customStyle="1" w:styleId="14">
    <w:name w:val="Default"/>
    <w:basedOn w:val="15"/>
    <w:next w:val="16"/>
    <w:unhideWhenUsed/>
    <w:qFormat/>
    <w:uiPriority w:val="99"/>
    <w:pPr>
      <w:tabs>
        <w:tab w:val="left" w:pos="1021"/>
      </w:tabs>
      <w:autoSpaceDE w:val="0"/>
      <w:autoSpaceDN w:val="0"/>
      <w:adjustRightInd w:val="0"/>
    </w:pPr>
    <w:rPr>
      <w:rFonts w:hint="eastAsia" w:ascii="Calibri" w:hAnsi="Calibri" w:cs="Times New Roman"/>
      <w:szCs w:val="22"/>
      <w:lang w:eastAsia="zh-CN" w:bidi="ar-SA"/>
    </w:rPr>
  </w:style>
  <w:style w:type="paragraph" w:customStyle="1" w:styleId="15">
    <w:name w:val="纯文本1"/>
    <w:basedOn w:val="1"/>
    <w:qFormat/>
    <w:uiPriority w:val="0"/>
    <w:pPr>
      <w:tabs>
        <w:tab w:val="left" w:pos="1021"/>
      </w:tabs>
      <w:spacing w:line="360" w:lineRule="auto"/>
    </w:pPr>
    <w:rPr>
      <w:rFonts w:ascii="宋体" w:hAnsi="Courier New" w:cs="Courier New"/>
      <w:szCs w:val="21"/>
    </w:rPr>
  </w:style>
  <w:style w:type="paragraph" w:customStyle="1" w:styleId="16">
    <w:name w:val="样式35"/>
    <w:basedOn w:val="1"/>
    <w:next w:val="17"/>
    <w:qFormat/>
    <w:uiPriority w:val="0"/>
    <w:pPr>
      <w:spacing w:line="312" w:lineRule="auto"/>
      <w:ind w:firstLine="567"/>
    </w:pPr>
    <w:rPr>
      <w:rFonts w:ascii="宋体"/>
    </w:rPr>
  </w:style>
  <w:style w:type="paragraph" w:customStyle="1" w:styleId="17">
    <w:name w:val="font6"/>
    <w:basedOn w:val="1"/>
    <w:next w:val="11"/>
    <w:qFormat/>
    <w:uiPriority w:val="0"/>
    <w:pPr>
      <w:widowControl/>
      <w:spacing w:before="100" w:beforeAutospacing="1" w:after="100" w:afterAutospacing="1"/>
    </w:pPr>
    <w:rPr>
      <w:rFonts w:ascii="宋体" w:hAnsi="宋体" w:cs="宋体"/>
      <w:sz w:val="20"/>
    </w:rPr>
  </w:style>
  <w:style w:type="paragraph" w:customStyle="1" w:styleId="18">
    <w:name w:val="Body text|1"/>
    <w:basedOn w:val="1"/>
    <w:qFormat/>
    <w:uiPriority w:val="0"/>
    <w:pPr>
      <w:spacing w:line="382" w:lineRule="auto"/>
      <w:ind w:firstLine="400"/>
    </w:pPr>
    <w:rPr>
      <w:rFonts w:ascii="宋体" w:hAnsi="宋体" w:eastAsia="宋体" w:cs="宋体"/>
      <w:sz w:val="30"/>
      <w:szCs w:val="30"/>
      <w:lang w:val="zh-TW" w:eastAsia="zh-TW" w:bidi="zh-TW"/>
    </w:rPr>
  </w:style>
  <w:style w:type="paragraph" w:customStyle="1" w:styleId="19">
    <w:name w:val="Heading #2|1"/>
    <w:basedOn w:val="1"/>
    <w:qFormat/>
    <w:uiPriority w:val="0"/>
    <w:pPr>
      <w:spacing w:after="520" w:line="590" w:lineRule="exact"/>
      <w:jc w:val="center"/>
      <w:outlineLvl w:val="1"/>
    </w:pPr>
    <w:rPr>
      <w:rFonts w:ascii="宋体" w:hAnsi="宋体" w:eastAsia="宋体" w:cs="宋体"/>
      <w:sz w:val="42"/>
      <w:szCs w:val="42"/>
      <w:lang w:val="zh-TW" w:eastAsia="zh-TW" w:bidi="zh-TW"/>
    </w:rPr>
  </w:style>
  <w:style w:type="character" w:customStyle="1" w:styleId="20">
    <w:name w:val="页眉 字符"/>
    <w:basedOn w:val="13"/>
    <w:link w:val="10"/>
    <w:qFormat/>
    <w:uiPriority w:val="0"/>
    <w:rPr>
      <w:rFonts w:ascii="Times New Roman" w:hAnsi="Times New Roman" w:eastAsia="Times New Roman" w:cs="Times New Roman"/>
      <w:color w:val="000000"/>
      <w:sz w:val="18"/>
      <w:szCs w:val="18"/>
      <w:lang w:eastAsia="en-US" w:bidi="en-US"/>
    </w:rPr>
  </w:style>
  <w:style w:type="character" w:customStyle="1" w:styleId="21">
    <w:name w:val="页脚 字符"/>
    <w:basedOn w:val="13"/>
    <w:link w:val="9"/>
    <w:qFormat/>
    <w:uiPriority w:val="0"/>
    <w:rPr>
      <w:rFonts w:ascii="Times New Roman" w:hAnsi="Times New Roman" w:eastAsia="Times New Roman" w:cs="Times New Roman"/>
      <w:color w:val="000000"/>
      <w:sz w:val="18"/>
      <w:szCs w:val="18"/>
      <w:lang w:eastAsia="en-US" w:bidi="en-US"/>
    </w:rPr>
  </w:style>
  <w:style w:type="paragraph" w:customStyle="1" w:styleId="22">
    <w:name w:val="Table Text"/>
    <w:basedOn w:val="1"/>
    <w:semiHidden/>
    <w:qFormat/>
    <w:uiPriority w:val="0"/>
    <w:rPr>
      <w:rFonts w:ascii="宋体" w:hAnsi="宋体" w:eastAsia="宋体" w:cs="宋体"/>
      <w:sz w:val="20"/>
      <w:szCs w:val="20"/>
      <w:lang w:val="en-US" w:eastAsia="en-US"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1621</Words>
  <Characters>1782</Characters>
  <Lines>225</Lines>
  <Paragraphs>233</Paragraphs>
  <TotalTime>0</TotalTime>
  <ScaleCrop>false</ScaleCrop>
  <LinksUpToDate>false</LinksUpToDate>
  <CharactersWithSpaces>1828</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2022-12-30T01:49:00Z</dcterms:created>
  <dc:creator>游鹏达</dc:creator>
  <cp:lastModifiedBy>焦糖橙子</cp:lastModifiedBy>
  <cp:lastPrinted>2025-11-06T08:09:00Z</cp:lastPrinted>
  <dcterms:modified xsi:type="dcterms:W3CDTF">2025-11-13T00:13:37Z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B069588BC77247FBB690EEE1289BF17F_13</vt:lpwstr>
  </property>
  <property fmtid="{D5CDD505-2E9C-101B-9397-08002B2CF9AE}" pid="4" name="KSOTemplateDocerSaveRecord">
    <vt:lpwstr>eyJoZGlkIjoiZGQyYzFjZTg5OWNiMGI1ZGY2YWM3NWVjYzFhMTRkZWYiLCJ1c2VySWQiOiIyNTA0MDExODgifQ==</vt:lpwstr>
  </property>
</Properties>
</file>