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C24EB">
      <w:pPr>
        <w:pStyle w:val="8"/>
        <w:spacing w:line="640" w:lineRule="exact"/>
        <w:rPr>
          <w:rFonts w:hint="eastAsia"/>
          <w:color w:val="auto"/>
        </w:rPr>
      </w:pPr>
    </w:p>
    <w:p w14:paraId="5646F6E3">
      <w:pPr>
        <w:pStyle w:val="11"/>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78BBEE2B">
      <w:pPr>
        <w:pStyle w:val="11"/>
        <w:spacing w:line="560" w:lineRule="exact"/>
        <w:ind w:firstLine="640" w:firstLineChars="200"/>
        <w:jc w:val="right"/>
        <w:rPr>
          <w:rFonts w:ascii="Times New Roman" w:hAnsi="Times New Roman" w:eastAsia="仿宋_GB2312"/>
          <w:sz w:val="32"/>
          <w:szCs w:val="32"/>
        </w:rPr>
      </w:pPr>
    </w:p>
    <w:p w14:paraId="2E8942AB">
      <w:pPr>
        <w:spacing w:line="548" w:lineRule="exact"/>
        <w:ind w:firstLine="440" w:firstLineChars="10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val="en-US" w:eastAsia="zh-CN"/>
        </w:rPr>
        <w:t>湖南创普展业科技有限公司</w:t>
      </w:r>
    </w:p>
    <w:p w14:paraId="72580D8E">
      <w:pPr>
        <w:spacing w:line="548" w:lineRule="exact"/>
        <w:ind w:firstLine="440" w:firstLineChars="100"/>
        <w:jc w:val="center"/>
        <w:rPr>
          <w:rFonts w:hint="eastAsia" w:ascii="方正小标宋_GBK" w:hAnsi="方正小标宋_GBK" w:eastAsia="方正小标宋_GBK" w:cs="方正小标宋_GBK"/>
          <w:snapToGrid w:val="0"/>
          <w:sz w:val="44"/>
          <w:szCs w:val="44"/>
          <w:lang w:bidi="ar"/>
        </w:rPr>
      </w:pPr>
      <w:r>
        <w:rPr>
          <w:rFonts w:hint="eastAsia" w:ascii="方正小标宋_GBK" w:hAnsi="方正小标宋_GBK" w:eastAsia="方正小标宋_GBK" w:cs="方正小标宋_GBK"/>
          <w:sz w:val="44"/>
          <w:szCs w:val="44"/>
        </w:rPr>
        <w:t>《</w:t>
      </w:r>
      <w:r>
        <w:rPr>
          <w:rFonts w:hint="eastAsia" w:ascii="方正小标宋_GBK" w:hAnsi="方正小标宋_GBK" w:eastAsia="方正小标宋_GBK" w:cs="方正小标宋_GBK"/>
          <w:sz w:val="44"/>
          <w:szCs w:val="44"/>
          <w:lang w:val="en-US" w:eastAsia="zh-CN"/>
        </w:rPr>
        <w:t>创普三期建设工程项目</w:t>
      </w:r>
      <w:r>
        <w:rPr>
          <w:rFonts w:hint="eastAsia" w:ascii="方正小标宋_GBK" w:hAnsi="方正小标宋_GBK" w:eastAsia="方正小标宋_GBK" w:cs="方正小标宋_GBK"/>
          <w:sz w:val="44"/>
          <w:szCs w:val="44"/>
        </w:rPr>
        <w:t>环境影响报告</w:t>
      </w:r>
      <w:r>
        <w:rPr>
          <w:rFonts w:hint="eastAsia" w:ascii="方正小标宋_GBK" w:hAnsi="方正小标宋_GBK" w:eastAsia="方正小标宋_GBK" w:cs="方正小标宋_GBK"/>
          <w:sz w:val="44"/>
          <w:szCs w:val="44"/>
          <w:lang w:val="en-US" w:eastAsia="zh-CN"/>
        </w:rPr>
        <w:t>表</w:t>
      </w:r>
      <w:r>
        <w:rPr>
          <w:rFonts w:hint="eastAsia" w:ascii="方正小标宋_GBK" w:hAnsi="方正小标宋_GBK" w:eastAsia="方正小标宋_GBK" w:cs="方正小标宋_GBK"/>
          <w:sz w:val="44"/>
          <w:szCs w:val="44"/>
        </w:rPr>
        <w:t>》的审批意见</w:t>
      </w:r>
    </w:p>
    <w:p w14:paraId="10E7482C">
      <w:pPr>
        <w:spacing w:line="548" w:lineRule="exact"/>
        <w:rPr>
          <w:rFonts w:hint="eastAsia" w:ascii="Times New Roman" w:hAnsi="Times New Roman" w:eastAsia="仿宋_GB2312" w:cs="Times New Roman"/>
          <w:sz w:val="32"/>
          <w:szCs w:val="32"/>
          <w:highlight w:val="none"/>
          <w:lang w:val="en-US" w:eastAsia="zh-CN"/>
        </w:rPr>
      </w:pPr>
    </w:p>
    <w:p w14:paraId="52103F5D">
      <w:pPr>
        <w:pStyle w:val="2"/>
        <w:rPr>
          <w:rFonts w:hint="eastAsia"/>
          <w:lang w:val="en-US" w:eastAsia="zh-CN"/>
        </w:rPr>
      </w:pPr>
    </w:p>
    <w:p w14:paraId="3C292035">
      <w:pPr>
        <w:spacing w:line="548" w:lineRule="exact"/>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湖南创普展业科技有限公司</w:t>
      </w:r>
      <w:r>
        <w:rPr>
          <w:rFonts w:ascii="Times New Roman" w:hAnsi="Times New Roman" w:eastAsia="仿宋_GB2312"/>
          <w:sz w:val="32"/>
          <w:szCs w:val="32"/>
          <w:highlight w:val="none"/>
        </w:rPr>
        <w:t>：</w:t>
      </w:r>
    </w:p>
    <w:p w14:paraId="0962B90F">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你公司报批由湖南</w:t>
      </w:r>
      <w:r>
        <w:rPr>
          <w:rFonts w:hint="eastAsia" w:ascii="Times New Roman" w:hAnsi="Times New Roman" w:eastAsia="仿宋_GB2312"/>
          <w:sz w:val="32"/>
          <w:szCs w:val="32"/>
          <w:highlight w:val="none"/>
        </w:rPr>
        <w:t>蓝方</w:t>
      </w:r>
      <w:r>
        <w:rPr>
          <w:rFonts w:ascii="Times New Roman" w:hAnsi="Times New Roman" w:eastAsia="仿宋_GB2312"/>
          <w:sz w:val="32"/>
          <w:szCs w:val="32"/>
          <w:highlight w:val="none"/>
        </w:rPr>
        <w:t>环境</w:t>
      </w:r>
      <w:r>
        <w:rPr>
          <w:rFonts w:hint="eastAsia" w:ascii="Times New Roman" w:hAnsi="Times New Roman" w:eastAsia="仿宋_GB2312" w:cs="Times New Roman"/>
          <w:sz w:val="32"/>
          <w:szCs w:val="32"/>
          <w:highlight w:val="none"/>
          <w:lang w:val="en-US" w:eastAsia="zh-CN"/>
        </w:rPr>
        <w:t>科技有限公司编制的《创普三期建设工程项目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w:t>
      </w:r>
      <w:r>
        <w:rPr>
          <w:rFonts w:hint="eastAsia" w:ascii="Times New Roman" w:hAnsi="Times New Roman" w:eastAsia="仿宋_GB2312"/>
          <w:sz w:val="32"/>
          <w:szCs w:val="32"/>
          <w:highlight w:val="none"/>
          <w:lang w:val="en-US" w:eastAsia="zh-CN"/>
        </w:rPr>
        <w:t>根据环评结论和专家审查意见</w:t>
      </w:r>
      <w:r>
        <w:rPr>
          <w:rFonts w:ascii="Times New Roman" w:hAnsi="Times New Roman" w:eastAsia="仿宋_GB2312"/>
          <w:sz w:val="32"/>
          <w:szCs w:val="32"/>
          <w:highlight w:val="none"/>
        </w:rPr>
        <w:t>，提出如下审批意见：</w:t>
      </w:r>
    </w:p>
    <w:p w14:paraId="50438C1F">
      <w:pPr>
        <w:numPr>
          <w:ilvl w:val="0"/>
          <w:numId w:val="0"/>
        </w:numPr>
        <w:spacing w:line="548"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cs="Times New Roman"/>
          <w:kern w:val="2"/>
          <w:sz w:val="32"/>
          <w:szCs w:val="32"/>
          <w:highlight w:val="none"/>
          <w:lang w:val="en-US" w:eastAsia="zh-CN" w:bidi="ar-SA"/>
        </w:rPr>
        <w:t>一、</w:t>
      </w:r>
      <w:bookmarkStart w:id="0" w:name="OLE_LINK1"/>
      <w:r>
        <w:rPr>
          <w:rFonts w:hint="eastAsia" w:ascii="Times New Roman" w:hAnsi="Times New Roman" w:eastAsia="仿宋_GB2312" w:cs="Times New Roman"/>
          <w:sz w:val="32"/>
          <w:szCs w:val="32"/>
          <w:highlight w:val="none"/>
          <w:lang w:val="en-US" w:eastAsia="zh-CN"/>
        </w:rPr>
        <w:t>湖南</w:t>
      </w:r>
      <w:bookmarkEnd w:id="0"/>
      <w:r>
        <w:rPr>
          <w:rFonts w:hint="eastAsia" w:ascii="Times New Roman" w:hAnsi="Times New Roman" w:eastAsia="仿宋_GB2312" w:cs="Times New Roman"/>
          <w:sz w:val="32"/>
          <w:szCs w:val="32"/>
          <w:highlight w:val="none"/>
          <w:lang w:val="en-US" w:eastAsia="zh-CN"/>
        </w:rPr>
        <w:t>创普展业科技有限公司成立于2022年，其属于创普投资旗下企业，为不断提升自身的技术水平和市场竞争力，拟投资22000万元在购置的园区工业用地空地上建设创普三期建设工程项目，新建一个高端显示器科创服务基地，主要为1#生产厂房（包含液晶显示驱动芯片研发、柔性OLED显示屏中试生产、电子纸显示屏中试生产、显示屏设备智能化和数字化中试生产、AGV搬运机器人研发中试），2#综合楼、门卫室、沉淀池及相关配套设施，项目显示屏的中试生产均为外购半成品进行组装、测试、生产，项目不涉及机器人制造、芯片制造，仅为程序编写测试，外购素人机器人和空白芯片后使用研发电脑、研发手机等分别进行搬运程序、驱动程序的编写和测试。项目建成后形成5条</w:t>
      </w:r>
      <w:r>
        <w:rPr>
          <w:rFonts w:hint="default" w:ascii="Times New Roman" w:hAnsi="Times New Roman" w:eastAsia="仿宋_GB2312" w:cs="Times New Roman"/>
          <w:sz w:val="32"/>
          <w:szCs w:val="32"/>
          <w:highlight w:val="none"/>
          <w:lang w:val="ru-RU" w:eastAsia="zh-CN"/>
        </w:rPr>
        <w:t>电子纸显示屏</w:t>
      </w:r>
      <w:r>
        <w:rPr>
          <w:rFonts w:hint="eastAsia" w:ascii="Times New Roman" w:hAnsi="Times New Roman" w:eastAsia="仿宋_GB2312" w:cs="Times New Roman"/>
          <w:sz w:val="32"/>
          <w:szCs w:val="32"/>
          <w:highlight w:val="none"/>
          <w:lang w:val="en-US" w:eastAsia="zh-CN"/>
        </w:rPr>
        <w:t>中试</w:t>
      </w:r>
      <w:r>
        <w:rPr>
          <w:rFonts w:hint="default" w:ascii="Times New Roman" w:hAnsi="Times New Roman" w:eastAsia="仿宋_GB2312" w:cs="Times New Roman"/>
          <w:sz w:val="32"/>
          <w:szCs w:val="32"/>
          <w:highlight w:val="none"/>
          <w:lang w:val="ru-RU" w:eastAsia="zh-CN"/>
        </w:rPr>
        <w:t>生产线</w:t>
      </w:r>
      <w:r>
        <w:rPr>
          <w:rFonts w:hint="eastAsia" w:ascii="Times New Roman" w:hAnsi="Times New Roman" w:eastAsia="仿宋_GB2312" w:cs="Times New Roman"/>
          <w:sz w:val="32"/>
          <w:szCs w:val="32"/>
          <w:highlight w:val="none"/>
          <w:lang w:val="ru-RU" w:eastAsia="zh-CN"/>
        </w:rPr>
        <w:t>、</w:t>
      </w:r>
      <w:r>
        <w:rPr>
          <w:rFonts w:hint="eastAsia" w:ascii="Times New Roman" w:hAnsi="Times New Roman" w:eastAsia="仿宋_GB2312" w:cs="Times New Roman"/>
          <w:sz w:val="32"/>
          <w:szCs w:val="32"/>
          <w:highlight w:val="none"/>
          <w:lang w:val="en-US" w:eastAsia="zh-CN"/>
        </w:rPr>
        <w:t>2条</w:t>
      </w:r>
      <w:r>
        <w:rPr>
          <w:rFonts w:hint="default" w:ascii="Times New Roman" w:hAnsi="Times New Roman" w:eastAsia="仿宋_GB2312" w:cs="Times New Roman"/>
          <w:sz w:val="32"/>
          <w:szCs w:val="32"/>
          <w:highlight w:val="none"/>
          <w:lang w:val="ru-RU" w:eastAsia="zh-CN"/>
        </w:rPr>
        <w:t>柔性OLED显示屏</w:t>
      </w:r>
      <w:r>
        <w:rPr>
          <w:rFonts w:hint="eastAsia" w:ascii="Times New Roman" w:hAnsi="Times New Roman" w:eastAsia="仿宋_GB2312" w:cs="Times New Roman"/>
          <w:sz w:val="32"/>
          <w:szCs w:val="32"/>
          <w:highlight w:val="none"/>
          <w:lang w:val="en-US" w:eastAsia="zh-CN"/>
        </w:rPr>
        <w:t>中试</w:t>
      </w:r>
      <w:r>
        <w:rPr>
          <w:rFonts w:hint="default" w:ascii="Times New Roman" w:hAnsi="Times New Roman" w:eastAsia="仿宋_GB2312" w:cs="Times New Roman"/>
          <w:sz w:val="32"/>
          <w:szCs w:val="32"/>
          <w:highlight w:val="none"/>
          <w:lang w:val="ru-RU" w:eastAsia="zh-CN"/>
        </w:rPr>
        <w:t>生产线</w:t>
      </w:r>
      <w:r>
        <w:rPr>
          <w:rFonts w:hint="eastAsia" w:ascii="Times New Roman" w:hAnsi="Times New Roman" w:eastAsia="仿宋_GB2312" w:cs="Times New Roman"/>
          <w:sz w:val="32"/>
          <w:szCs w:val="32"/>
          <w:highlight w:val="none"/>
          <w:lang w:val="ru-RU" w:eastAsia="zh-CN"/>
        </w:rPr>
        <w:t>、</w:t>
      </w:r>
      <w:r>
        <w:rPr>
          <w:rFonts w:hint="eastAsia" w:ascii="Times New Roman" w:hAnsi="Times New Roman" w:eastAsia="仿宋_GB2312" w:cs="Times New Roman"/>
          <w:sz w:val="32"/>
          <w:szCs w:val="32"/>
          <w:highlight w:val="none"/>
          <w:lang w:val="en-US" w:eastAsia="zh-CN"/>
        </w:rPr>
        <w:t>2条各类显示屏中试生产线以及1条AGV搬运机器人研发生产线、1条芯片技术研发线，主要产品分别为</w:t>
      </w:r>
      <w:r>
        <w:rPr>
          <w:rFonts w:hint="default" w:ascii="Times New Roman" w:hAnsi="Times New Roman" w:eastAsia="仿宋_GB2312" w:cs="Times New Roman"/>
          <w:sz w:val="32"/>
          <w:szCs w:val="32"/>
          <w:highlight w:val="none"/>
          <w:lang w:val="ru-RU" w:eastAsia="zh-CN"/>
        </w:rPr>
        <w:t>柔性OLED显示屏</w:t>
      </w:r>
      <w:r>
        <w:rPr>
          <w:rFonts w:hint="eastAsia" w:ascii="Times New Roman" w:hAnsi="Times New Roman" w:eastAsia="仿宋_GB2312" w:cs="Times New Roman"/>
          <w:sz w:val="32"/>
          <w:szCs w:val="32"/>
          <w:highlight w:val="none"/>
          <w:lang w:val="en-US" w:eastAsia="zh-CN"/>
        </w:rPr>
        <w:t>70</w:t>
      </w:r>
      <w:r>
        <w:rPr>
          <w:rFonts w:hint="default" w:ascii="Times New Roman" w:hAnsi="Times New Roman" w:eastAsia="仿宋_GB2312" w:cs="Times New Roman"/>
          <w:sz w:val="32"/>
          <w:szCs w:val="32"/>
          <w:highlight w:val="none"/>
          <w:lang w:val="ru-RU" w:eastAsia="zh-CN"/>
        </w:rPr>
        <w:t>万片</w:t>
      </w:r>
      <w:r>
        <w:rPr>
          <w:rFonts w:hint="eastAsia" w:ascii="Times New Roman" w:hAnsi="Times New Roman" w:eastAsia="仿宋_GB2312" w:cs="Times New Roman"/>
          <w:sz w:val="32"/>
          <w:szCs w:val="32"/>
          <w:highlight w:val="none"/>
          <w:lang w:val="en-US" w:eastAsia="zh-CN"/>
        </w:rPr>
        <w:t>/a、电子纸显示屏180万片/a、各类显示屏50万片/a、AGV搬运机器人100套/a（不涉及机器人制造，仅为研发搬运程序、训练系统）。研发设备主要为研发电脑、研发手机及测试平台；生产设备主要为</w:t>
      </w:r>
      <w:r>
        <w:rPr>
          <w:rFonts w:hint="default" w:ascii="Times New Roman" w:hAnsi="Times New Roman" w:eastAsia="仿宋_GB2312" w:cs="Times New Roman"/>
          <w:sz w:val="32"/>
          <w:szCs w:val="32"/>
          <w:highlight w:val="none"/>
          <w:lang w:val="en-US" w:eastAsia="zh-CN"/>
        </w:rPr>
        <w:t>激光切割设备</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真空贴合机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柔性OLED邦定设备</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AOI检测设备</w:t>
      </w:r>
      <w:r>
        <w:rPr>
          <w:rFonts w:hint="eastAsia" w:ascii="Times New Roman" w:hAnsi="Times New Roman" w:eastAsia="仿宋_GB2312" w:cs="Times New Roman"/>
          <w:sz w:val="32"/>
          <w:szCs w:val="32"/>
          <w:highlight w:val="none"/>
          <w:lang w:val="en-US" w:eastAsia="zh-CN"/>
        </w:rPr>
        <w:t>、试验机、</w:t>
      </w:r>
      <w:r>
        <w:rPr>
          <w:rFonts w:hint="default" w:ascii="Times New Roman" w:hAnsi="Times New Roman" w:eastAsia="仿宋_GB2312" w:cs="Times New Roman"/>
          <w:sz w:val="32"/>
          <w:szCs w:val="32"/>
          <w:highlight w:val="none"/>
          <w:lang w:val="en-US" w:eastAsia="zh-CN"/>
        </w:rPr>
        <w:t>超声波清洗机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ACF热压机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COF邦定机</w:t>
      </w:r>
      <w:r>
        <w:rPr>
          <w:rFonts w:hint="eastAsia" w:ascii="Times New Roman" w:hAnsi="Times New Roman" w:eastAsia="仿宋_GB2312" w:cs="Times New Roman"/>
          <w:sz w:val="32"/>
          <w:szCs w:val="32"/>
          <w:highlight w:val="none"/>
          <w:lang w:val="en-US" w:eastAsia="zh-CN"/>
        </w:rPr>
        <w:t>、显示屏生产线、直线切割机、打包机、空压机、除泡机、磨边机、磨边机、点胶机、晾干机、背光组装机、上料机、覆膜机、全自动偏光片贴附机。主要原辅材料为柔性OLED面板、显示驱动芯片、柔性电路板、电子纸面板、背光源、各类面板、素人机器人、油墨、蓝胶、锡丝、乙醇、丙酮、ACF导电胶。主要生产工艺为液晶显示驱动芯片技术研发：设计驱动芯片方案—电脑编写程序—将程序放入本项目自研的各类显示屏—将显示屏与研发手机组装—面板放入测试板进行测试；AGV搬运机器人中试生产：素人机器人—电脑编写AGV搬运程序—将程序放入机器人—进行AGV搬运训练和测试；柔性OLED显示屏中试生产：半成品原料准备—组装—电气性能测试—视觉检测—封装；电子纸显示屏中试生产：半成品原料准备—清洁处理—组装—电路连接—测试—封装；各类显示屏（设备智能化、数字化中试）中试生产：半成品原料准备—切割、研磨清洗—贴附热压、测试—点胶、组装、焊接—测试—喷码、组装背光源—检查封装。</w:t>
      </w:r>
    </w:p>
    <w:p w14:paraId="70B17E2D">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本项目显示屏的中试生产均为外购半成品进行组装、测试、生产，项目不涉及机器人制造、芯片制造，仅为程序编写测试，各类显示屏中试生产主要为电子器件</w:t>
      </w:r>
      <w:r>
        <w:rPr>
          <w:rFonts w:hint="default" w:ascii="Times New Roman" w:hAnsi="Times New Roman" w:eastAsia="仿宋_GB2312" w:cs="Times New Roman"/>
          <w:sz w:val="32"/>
          <w:szCs w:val="32"/>
          <w:highlight w:val="none"/>
          <w:lang w:val="en-US" w:eastAsia="zh-CN"/>
        </w:rPr>
        <w:t>制造</w:t>
      </w:r>
      <w:r>
        <w:rPr>
          <w:rFonts w:hint="eastAsia" w:ascii="Times New Roman" w:hAnsi="Times New Roman" w:eastAsia="仿宋_GB2312" w:cs="Times New Roman"/>
          <w:sz w:val="32"/>
          <w:szCs w:val="32"/>
          <w:highlight w:val="none"/>
          <w:lang w:val="en-US" w:eastAsia="zh-CN"/>
        </w:rPr>
        <w:t>、芯片研发主要为空白芯片编程驱动程序、AGV机器人研发主要为素人机器人编程操作程序，</w:t>
      </w:r>
      <w:r>
        <w:rPr>
          <w:rFonts w:hint="default" w:ascii="Times New Roman" w:hAnsi="Times New Roman" w:eastAsia="仿宋_GB2312" w:cs="Times New Roman"/>
          <w:sz w:val="32"/>
          <w:szCs w:val="32"/>
          <w:highlight w:val="none"/>
        </w:rPr>
        <w:t>根据《产业结构调整指导目录(20</w:t>
      </w:r>
      <w:r>
        <w:rPr>
          <w:rFonts w:hint="eastAsia" w:ascii="Times New Roman" w:hAnsi="Times New Roman" w:eastAsia="仿宋_GB2312" w:cs="Times New Roman"/>
          <w:sz w:val="32"/>
          <w:szCs w:val="32"/>
          <w:highlight w:val="none"/>
          <w:lang w:val="en-US" w:eastAsia="zh-CN"/>
        </w:rPr>
        <w:t>24</w:t>
      </w:r>
      <w:r>
        <w:rPr>
          <w:rFonts w:hint="default" w:ascii="Times New Roman" w:hAnsi="Times New Roman" w:eastAsia="仿宋_GB2312" w:cs="Times New Roman"/>
          <w:sz w:val="32"/>
          <w:szCs w:val="32"/>
          <w:highlight w:val="none"/>
        </w:rPr>
        <w:t>年本)</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其均不属于名录中的限制类和淘汰类，均为允许类</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符</w:t>
      </w:r>
      <w:r>
        <w:rPr>
          <w:rFonts w:hint="eastAsia" w:ascii="Times New Roman" w:hAnsi="Times New Roman" w:eastAsia="仿宋_GB2312"/>
          <w:sz w:val="32"/>
          <w:szCs w:val="32"/>
          <w:highlight w:val="none"/>
        </w:rPr>
        <w:t>合国家</w:t>
      </w:r>
      <w:r>
        <w:rPr>
          <w:rFonts w:hint="eastAsia" w:ascii="Times New Roman" w:hAnsi="Times New Roman" w:eastAsia="仿宋_GB2312"/>
          <w:sz w:val="32"/>
          <w:szCs w:val="32"/>
          <w:highlight w:val="none"/>
          <w:lang w:val="en-US" w:eastAsia="zh-CN"/>
        </w:rPr>
        <w:t>当前</w:t>
      </w:r>
      <w:r>
        <w:rPr>
          <w:rFonts w:hint="eastAsia" w:ascii="Times New Roman" w:hAnsi="Times New Roman" w:eastAsia="仿宋_GB2312"/>
          <w:sz w:val="32"/>
          <w:szCs w:val="32"/>
          <w:highlight w:val="none"/>
        </w:rPr>
        <w:t>产业政策要求。根据环评结论，从环境保护的角度分析，同意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1BDBBDD4">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2FE21C66">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采取设置围挡、喷淋洒水，覆盖物料等抑尘措施，减少扬尘产生量；施工废水沉淀处理后回用，不外排；合理安排施工时间，釆取有效隔声降噪措施，防止噪声扰民。</w:t>
      </w:r>
    </w:p>
    <w:p w14:paraId="23AA617B">
      <w:pPr>
        <w:pStyle w:val="2"/>
        <w:spacing w:after="0" w:line="560" w:lineRule="exact"/>
        <w:ind w:firstLine="640" w:firstLineChars="200"/>
        <w:rPr>
          <w:rFonts w:ascii="Times New Roman" w:hAnsi="Times New Roman" w:eastAsia="仿宋_GB2312"/>
          <w:color w:val="FF0000"/>
          <w:sz w:val="32"/>
          <w:szCs w:val="32"/>
          <w:highlight w:val="yellow"/>
        </w:rPr>
      </w:pPr>
      <w:r>
        <w:rPr>
          <w:rFonts w:ascii="Times New Roman" w:hAnsi="Times New Roman" w:eastAsia="仿宋_GB2312"/>
          <w:sz w:val="32"/>
          <w:szCs w:val="32"/>
          <w:highlight w:val="none"/>
        </w:rPr>
        <w:t>2</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水污染防治工作。</w:t>
      </w:r>
      <w:r>
        <w:rPr>
          <w:rFonts w:hint="eastAsia" w:ascii="Times New Roman" w:hAnsi="Times New Roman" w:eastAsia="仿宋_GB2312"/>
          <w:sz w:val="32"/>
          <w:szCs w:val="32"/>
          <w:highlight w:val="none"/>
        </w:rPr>
        <w:t>严格按照</w:t>
      </w:r>
      <w:r>
        <w:rPr>
          <w:rFonts w:ascii="Times New Roman" w:hAnsi="Times New Roman" w:eastAsia="仿宋_GB2312"/>
          <w:sz w:val="32"/>
          <w:szCs w:val="32"/>
          <w:highlight w:val="none"/>
        </w:rPr>
        <w:t>“雨污分流”、“污污分流”原则</w:t>
      </w:r>
      <w:r>
        <w:rPr>
          <w:rFonts w:hint="eastAsia" w:ascii="Times New Roman" w:hAnsi="Times New Roman" w:eastAsia="仿宋_GB2312"/>
          <w:sz w:val="32"/>
          <w:szCs w:val="32"/>
          <w:highlight w:val="none"/>
        </w:rPr>
        <w:t>建设厂区</w:t>
      </w:r>
      <w:r>
        <w:rPr>
          <w:rFonts w:ascii="Times New Roman" w:hAnsi="Times New Roman" w:eastAsia="仿宋_GB2312"/>
          <w:sz w:val="32"/>
          <w:szCs w:val="32"/>
          <w:highlight w:val="none"/>
        </w:rPr>
        <w:t>排水管网。</w:t>
      </w:r>
      <w:r>
        <w:rPr>
          <w:rFonts w:hint="eastAsia" w:ascii="Times New Roman" w:hAnsi="Times New Roman" w:eastAsia="仿宋_GB2312"/>
          <w:sz w:val="32"/>
          <w:szCs w:val="32"/>
          <w:highlight w:val="none"/>
        </w:rPr>
        <w:t>厂区内初期雨水经雨水沟渠收集后排入园区雨水管网，项目营运期内的废水主要为清洗废水、软水制备废水和生活污水，软水制备废水经厂区总排口直接排入园区污水管网，项目清洗废水经沉淀池处理后、生活污水经厂区化粪池处理后均经园区市政污水管网进入红仑新型污水处理厂处理。</w:t>
      </w:r>
    </w:p>
    <w:p w14:paraId="399D687E">
      <w:pPr>
        <w:spacing w:line="56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bidi="ar-SA"/>
        </w:rPr>
        <w:t>大气污染防治工作。项目玻璃切割、研磨工序采用湿法打磨方式、封闭式无尘车间设置新风系统，同时加强车间通风换气</w:t>
      </w:r>
      <w:r>
        <w:rPr>
          <w:rFonts w:hint="default" w:ascii="Times New Roman" w:hAnsi="Times New Roman" w:eastAsia="仿宋_GB2312" w:cs="Times New Roman"/>
          <w:kern w:val="2"/>
          <w:sz w:val="32"/>
          <w:szCs w:val="32"/>
          <w:highlight w:val="none"/>
          <w:lang w:val="en-US" w:eastAsia="zh-CN" w:bidi="ar-SA"/>
        </w:rPr>
        <w:t>进行处理</w:t>
      </w:r>
      <w:r>
        <w:rPr>
          <w:rFonts w:hint="eastAsia" w:ascii="Times New Roman" w:hAnsi="Times New Roman" w:eastAsia="仿宋_GB2312" w:cs="Times New Roman"/>
          <w:kern w:val="2"/>
          <w:sz w:val="32"/>
          <w:szCs w:val="32"/>
          <w:highlight w:val="none"/>
          <w:lang w:val="en-US" w:eastAsia="zh-CN" w:bidi="ar-SA"/>
        </w:rPr>
        <w:t>；焊接工序采用焊烟净化器、封闭式无尘车间设置新风系统，同时加强车间通风换气</w:t>
      </w:r>
      <w:r>
        <w:rPr>
          <w:rFonts w:hint="default" w:ascii="Times New Roman" w:hAnsi="Times New Roman" w:eastAsia="仿宋_GB2312" w:cs="Times New Roman"/>
          <w:kern w:val="2"/>
          <w:sz w:val="32"/>
          <w:szCs w:val="32"/>
          <w:highlight w:val="none"/>
          <w:lang w:val="en-US" w:eastAsia="zh-CN" w:bidi="ar-SA"/>
        </w:rPr>
        <w:t>进行处理</w:t>
      </w:r>
      <w:r>
        <w:rPr>
          <w:rFonts w:hint="eastAsia" w:ascii="Times New Roman" w:hAnsi="Times New Roman" w:eastAsia="仿宋_GB2312" w:cs="Times New Roman"/>
          <w:kern w:val="2"/>
          <w:sz w:val="32"/>
          <w:szCs w:val="32"/>
          <w:highlight w:val="none"/>
          <w:lang w:val="en-US" w:eastAsia="zh-CN" w:bidi="ar-SA"/>
        </w:rPr>
        <w:t>；热压工序、点胶工序、喷码工序及返修清洗工序中使用乙醇和丙酮过程中产生的挥发性有机物废</w:t>
      </w:r>
      <w:r>
        <w:rPr>
          <w:rFonts w:hint="eastAsia" w:ascii="Times New Roman" w:hAnsi="Times New Roman" w:eastAsia="仿宋_GB2312" w:cs="Times New Roman"/>
          <w:kern w:val="2"/>
          <w:sz w:val="32"/>
          <w:szCs w:val="32"/>
          <w:highlight w:val="none"/>
          <w:lang w:val="en-US" w:eastAsia="zh-CN" w:bidi="ar-SA"/>
        </w:rPr>
        <w:t>气均在封闭式无尘车间内按照工序进行分区管理，其总产生量较小、总产生速率为小于</w:t>
      </w:r>
      <w:r>
        <w:rPr>
          <w:rFonts w:hint="default" w:ascii="Times New Roman" w:hAnsi="Times New Roman" w:eastAsia="仿宋_GB2312" w:cs="Times New Roman"/>
          <w:kern w:val="2"/>
          <w:sz w:val="32"/>
          <w:szCs w:val="32"/>
          <w:highlight w:val="none"/>
          <w:lang w:val="en-US" w:eastAsia="zh-CN" w:bidi="ar-SA"/>
        </w:rPr>
        <w:t>2kg/h</w:t>
      </w:r>
      <w:r>
        <w:rPr>
          <w:rFonts w:hint="eastAsia" w:ascii="Times New Roman" w:hAnsi="Times New Roman" w:eastAsia="仿宋_GB2312" w:cs="Times New Roman"/>
          <w:kern w:val="2"/>
          <w:sz w:val="32"/>
          <w:szCs w:val="32"/>
          <w:highlight w:val="none"/>
          <w:lang w:val="en-US" w:eastAsia="zh-CN" w:bidi="ar-SA"/>
        </w:rPr>
        <w:t>、产生浓度较小，封闭式无尘车间设置新风系统和废气收集系统进行车间通风换气等</w:t>
      </w:r>
      <w:r>
        <w:rPr>
          <w:rFonts w:hint="eastAsia" w:ascii="Times New Roman" w:hAnsi="Times New Roman" w:eastAsia="仿宋_GB2312" w:cs="Times New Roman"/>
          <w:kern w:val="2"/>
          <w:sz w:val="32"/>
          <w:szCs w:val="32"/>
          <w:highlight w:val="none"/>
          <w:lang w:val="en-US" w:eastAsia="zh-CN" w:bidi="ar-SA"/>
        </w:rPr>
        <w:t>措施进行处理。项目产生的无组织粉尘、无组织锡及其化合物及无组织VOCs（以非甲烷总烃计）</w:t>
      </w:r>
      <w:r>
        <w:rPr>
          <w:rFonts w:hint="eastAsia" w:ascii="Times New Roman" w:hAnsi="Times New Roman" w:eastAsia="仿宋_GB2312"/>
          <w:sz w:val="32"/>
          <w:szCs w:val="32"/>
          <w:highlight w:val="none"/>
        </w:rPr>
        <w:t>确保达</w:t>
      </w:r>
      <w:r>
        <w:rPr>
          <w:rFonts w:hint="default" w:ascii="Times New Roman" w:hAnsi="Times New Roman" w:eastAsia="仿宋_GB2312" w:cs="Times New Roman"/>
          <w:kern w:val="2"/>
          <w:sz w:val="32"/>
          <w:szCs w:val="32"/>
          <w:highlight w:val="none"/>
          <w:lang w:val="en-US" w:eastAsia="zh-CN" w:bidi="ar-SA"/>
        </w:rPr>
        <w:t>《</w:t>
      </w:r>
      <w:r>
        <w:rPr>
          <w:rFonts w:hint="eastAsia" w:ascii="Times New Roman" w:hAnsi="Times New Roman" w:eastAsia="仿宋_GB2312" w:cs="Times New Roman"/>
          <w:kern w:val="2"/>
          <w:sz w:val="32"/>
          <w:szCs w:val="32"/>
          <w:highlight w:val="none"/>
          <w:lang w:val="en-US" w:eastAsia="zh-CN" w:bidi="ar-SA"/>
        </w:rPr>
        <w:t>大气污染物综合排放标准</w:t>
      </w:r>
      <w:r>
        <w:rPr>
          <w:rFonts w:hint="default" w:ascii="Times New Roman" w:hAnsi="Times New Roman" w:eastAsia="仿宋_GB2312" w:cs="Times New Roman"/>
          <w:kern w:val="2"/>
          <w:sz w:val="32"/>
          <w:szCs w:val="32"/>
          <w:highlight w:val="none"/>
          <w:lang w:val="en-US" w:eastAsia="zh-CN" w:bidi="ar-SA"/>
        </w:rPr>
        <w:t>》（GB</w:t>
      </w:r>
      <w:r>
        <w:rPr>
          <w:rFonts w:hint="eastAsia" w:ascii="Times New Roman" w:hAnsi="Times New Roman" w:eastAsia="仿宋_GB2312" w:cs="Times New Roman"/>
          <w:kern w:val="2"/>
          <w:sz w:val="32"/>
          <w:szCs w:val="32"/>
          <w:highlight w:val="none"/>
          <w:lang w:val="en-US" w:eastAsia="zh-CN" w:bidi="ar-SA"/>
        </w:rPr>
        <w:t>16297</w:t>
      </w:r>
      <w:r>
        <w:rPr>
          <w:rFonts w:hint="default" w:ascii="Times New Roman" w:hAnsi="Times New Roman" w:eastAsia="仿宋_GB2312" w:cs="Times New Roman"/>
          <w:kern w:val="2"/>
          <w:sz w:val="32"/>
          <w:szCs w:val="32"/>
          <w:highlight w:val="none"/>
          <w:lang w:val="en-US" w:eastAsia="zh-CN" w:bidi="ar-SA"/>
        </w:rPr>
        <w:t>-</w:t>
      </w:r>
      <w:r>
        <w:rPr>
          <w:rFonts w:hint="eastAsia" w:ascii="Times New Roman" w:hAnsi="Times New Roman" w:eastAsia="仿宋_GB2312" w:cs="Times New Roman"/>
          <w:kern w:val="2"/>
          <w:sz w:val="32"/>
          <w:szCs w:val="32"/>
          <w:highlight w:val="none"/>
          <w:lang w:val="en-US" w:eastAsia="zh-CN" w:bidi="ar-SA"/>
        </w:rPr>
        <w:t>1996</w:t>
      </w:r>
      <w:r>
        <w:rPr>
          <w:rFonts w:hint="default" w:ascii="Times New Roman" w:hAnsi="Times New Roman" w:eastAsia="仿宋_GB2312" w:cs="Times New Roman"/>
          <w:kern w:val="2"/>
          <w:sz w:val="32"/>
          <w:szCs w:val="32"/>
          <w:highlight w:val="none"/>
          <w:lang w:val="en-US" w:eastAsia="zh-CN" w:bidi="ar-SA"/>
        </w:rPr>
        <w:t>）</w:t>
      </w:r>
      <w:r>
        <w:rPr>
          <w:rFonts w:hint="eastAsia" w:ascii="Times New Roman" w:hAnsi="Times New Roman" w:eastAsia="仿宋_GB2312" w:cs="Times New Roman"/>
          <w:kern w:val="2"/>
          <w:sz w:val="32"/>
          <w:szCs w:val="32"/>
          <w:highlight w:val="none"/>
          <w:lang w:val="en-US" w:eastAsia="zh-CN" w:bidi="ar-SA"/>
        </w:rPr>
        <w:t>表2中的无组织排放监控浓度限值</w:t>
      </w:r>
      <w:r>
        <w:rPr>
          <w:rFonts w:hint="eastAsia" w:ascii="Times New Roman" w:hAnsi="Times New Roman" w:eastAsia="仿宋_GB2312"/>
          <w:sz w:val="32"/>
          <w:szCs w:val="32"/>
          <w:highlight w:val="none"/>
        </w:rPr>
        <w:t>要求</w:t>
      </w:r>
      <w:r>
        <w:rPr>
          <w:rFonts w:hint="eastAsia" w:ascii="Times New Roman" w:hAnsi="Times New Roman" w:eastAsia="仿宋_GB2312" w:cs="Times New Roman"/>
          <w:kern w:val="2"/>
          <w:sz w:val="32"/>
          <w:szCs w:val="32"/>
          <w:highlight w:val="none"/>
          <w:lang w:val="en-US" w:eastAsia="zh-CN" w:bidi="ar-SA"/>
        </w:rPr>
        <w:t>；厂区内厂房外</w:t>
      </w:r>
      <w:r>
        <w:rPr>
          <w:rFonts w:hint="default" w:ascii="Times New Roman" w:hAnsi="Times New Roman" w:eastAsia="仿宋_GB2312" w:cs="Times New Roman"/>
          <w:kern w:val="2"/>
          <w:sz w:val="32"/>
          <w:szCs w:val="32"/>
          <w:highlight w:val="none"/>
          <w:lang w:val="en-US" w:eastAsia="zh-CN" w:bidi="ar-SA"/>
        </w:rPr>
        <w:t>VOCs</w:t>
      </w:r>
      <w:r>
        <w:rPr>
          <w:rFonts w:hint="eastAsia" w:ascii="Times New Roman" w:hAnsi="Times New Roman" w:eastAsia="仿宋_GB2312" w:cs="Times New Roman"/>
          <w:kern w:val="2"/>
          <w:sz w:val="32"/>
          <w:szCs w:val="32"/>
          <w:highlight w:val="none"/>
          <w:lang w:val="en-US" w:eastAsia="zh-CN" w:bidi="ar-SA"/>
        </w:rPr>
        <w:t>（以非甲烷总烃计）无组织排放</w:t>
      </w:r>
      <w:r>
        <w:rPr>
          <w:rFonts w:hint="eastAsia" w:ascii="Times New Roman" w:hAnsi="Times New Roman" w:eastAsia="仿宋_GB2312"/>
          <w:sz w:val="32"/>
          <w:szCs w:val="32"/>
          <w:highlight w:val="none"/>
        </w:rPr>
        <w:t>确保达</w:t>
      </w:r>
      <w:r>
        <w:rPr>
          <w:rFonts w:hint="eastAsia" w:ascii="Times New Roman" w:hAnsi="Times New Roman" w:eastAsia="仿宋_GB2312" w:cs="Times New Roman"/>
          <w:kern w:val="2"/>
          <w:sz w:val="32"/>
          <w:szCs w:val="32"/>
          <w:highlight w:val="none"/>
          <w:lang w:val="en-US" w:eastAsia="zh-CN" w:bidi="ar-SA"/>
        </w:rPr>
        <w:t xml:space="preserve">《挥发性有机物无组织排放控制标准》 </w:t>
      </w:r>
      <w:r>
        <w:rPr>
          <w:rFonts w:hint="default" w:ascii="Times New Roman" w:hAnsi="Times New Roman" w:eastAsia="仿宋_GB2312" w:cs="Times New Roman"/>
          <w:kern w:val="2"/>
          <w:sz w:val="32"/>
          <w:szCs w:val="32"/>
          <w:highlight w:val="none"/>
          <w:lang w:val="en-US" w:eastAsia="zh-CN" w:bidi="ar-SA"/>
        </w:rPr>
        <w:t>(GB37822-2019)</w:t>
      </w:r>
      <w:r>
        <w:rPr>
          <w:rFonts w:hint="eastAsia" w:ascii="Times New Roman" w:hAnsi="Times New Roman" w:eastAsia="仿宋_GB2312" w:cs="Times New Roman"/>
          <w:kern w:val="2"/>
          <w:sz w:val="32"/>
          <w:szCs w:val="32"/>
          <w:highlight w:val="none"/>
          <w:lang w:val="en-US" w:eastAsia="zh-CN" w:bidi="ar-SA"/>
        </w:rPr>
        <w:t xml:space="preserve">中表 </w:t>
      </w:r>
      <w:r>
        <w:rPr>
          <w:rFonts w:hint="default" w:ascii="Times New Roman" w:hAnsi="Times New Roman" w:eastAsia="仿宋_GB2312" w:cs="Times New Roman"/>
          <w:kern w:val="2"/>
          <w:sz w:val="32"/>
          <w:szCs w:val="32"/>
          <w:highlight w:val="none"/>
          <w:lang w:val="en-US" w:eastAsia="zh-CN" w:bidi="ar-SA"/>
        </w:rPr>
        <w:t xml:space="preserve">A.1 </w:t>
      </w:r>
      <w:r>
        <w:rPr>
          <w:rFonts w:hint="eastAsia" w:ascii="Times New Roman" w:hAnsi="Times New Roman" w:eastAsia="仿宋_GB2312" w:cs="Times New Roman"/>
          <w:kern w:val="2"/>
          <w:sz w:val="32"/>
          <w:szCs w:val="32"/>
          <w:highlight w:val="none"/>
          <w:lang w:val="en-US" w:eastAsia="zh-CN" w:bidi="ar-SA"/>
        </w:rPr>
        <w:t>无组织排放限值</w:t>
      </w:r>
      <w:r>
        <w:rPr>
          <w:rFonts w:hint="eastAsia" w:ascii="Times New Roman" w:hAnsi="Times New Roman" w:eastAsia="仿宋_GB2312"/>
          <w:sz w:val="32"/>
          <w:szCs w:val="32"/>
          <w:highlight w:val="none"/>
        </w:rPr>
        <w:t>要求。</w:t>
      </w:r>
    </w:p>
    <w:p w14:paraId="18727DD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噪声污染防治工作。优化设备选型、合理布局高噪声设备，对高噪声设备采取基础减振、厂房封闭隔音、消声降噪等措施，确保厂界噪声达到《工业企业厂界环境噪声排放标准》（GB12348-2008）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类标准要求。</w:t>
      </w:r>
    </w:p>
    <w:p w14:paraId="49217CFB">
      <w:pPr>
        <w:spacing w:line="548"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5</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固废污染防治工作。严格按照“资源化、减量化、无害化”原则，</w:t>
      </w:r>
      <w:r>
        <w:rPr>
          <w:rFonts w:hint="eastAsia" w:ascii="Times New Roman" w:hAnsi="Times New Roman" w:eastAsia="仿宋_GB2312"/>
          <w:sz w:val="32"/>
          <w:szCs w:val="32"/>
          <w:highlight w:val="none"/>
        </w:rPr>
        <w:t>做好</w:t>
      </w:r>
      <w:r>
        <w:rPr>
          <w:rFonts w:ascii="Times New Roman" w:hAnsi="Times New Roman" w:eastAsia="仿宋_GB2312"/>
          <w:sz w:val="32"/>
          <w:szCs w:val="32"/>
          <w:highlight w:val="none"/>
        </w:rPr>
        <w:t>各类固体废物分类收集贮存、转运、综合利用</w:t>
      </w:r>
      <w:r>
        <w:rPr>
          <w:rFonts w:hint="eastAsia" w:ascii="Times New Roman" w:hAnsi="Times New Roman" w:eastAsia="仿宋_GB2312"/>
          <w:sz w:val="32"/>
          <w:szCs w:val="32"/>
          <w:highlight w:val="none"/>
        </w:rPr>
        <w:t>，并按要求做好台账记录，规范设置固体废物暂存间及标识、标牌、标签等标志</w:t>
      </w:r>
      <w:r>
        <w:rPr>
          <w:rFonts w:ascii="Times New Roman" w:hAnsi="Times New Roman" w:eastAsia="仿宋_GB2312"/>
          <w:sz w:val="32"/>
          <w:szCs w:val="32"/>
          <w:highlight w:val="none"/>
        </w:rPr>
        <w:t>。</w:t>
      </w:r>
      <w:r>
        <w:rPr>
          <w:rFonts w:hint="eastAsia" w:ascii="Times New Roman" w:hAnsi="Times New Roman" w:eastAsia="仿宋_GB2312" w:cs="Times New Roman"/>
          <w:sz w:val="32"/>
          <w:szCs w:val="32"/>
          <w:highlight w:val="none"/>
        </w:rPr>
        <w:t>本项目</w:t>
      </w:r>
      <w:r>
        <w:rPr>
          <w:rFonts w:hint="eastAsia" w:ascii="Times New Roman" w:hAnsi="Times New Roman" w:eastAsia="仿宋_GB2312" w:cs="Times New Roman"/>
          <w:sz w:val="32"/>
          <w:szCs w:val="32"/>
          <w:highlight w:val="none"/>
          <w:lang w:val="en-US" w:eastAsia="zh-CN"/>
        </w:rPr>
        <w:t>废包装物集中收集后出售给废品回收单位，由废品回收单位统一处理废包装物；清洗废渣、废无尘布经收集后按照相关规范要求进行处置；废软化树脂集中收集后统一交由厂家回收处理；生活垃圾设生活垃圾桶，由环卫部门定期清运</w:t>
      </w:r>
      <w:r>
        <w:rPr>
          <w:rFonts w:hint="eastAsia" w:ascii="Times New Roman" w:hAnsi="Times New Roman" w:eastAsia="仿宋_GB2312" w:cs="Times New Roman"/>
          <w:sz w:val="32"/>
          <w:szCs w:val="32"/>
          <w:highlight w:val="none"/>
        </w:rPr>
        <w:t>。一般固废临时存储在一般固废间，贮存和处置过程满足《一般工业固体废 物贮存和填埋污染控制标准》（GB18599-2020）中相关要求。</w:t>
      </w:r>
      <w:r>
        <w:rPr>
          <w:rFonts w:hint="eastAsia" w:ascii="Times New Roman" w:hAnsi="Times New Roman" w:eastAsia="仿宋_GB2312" w:cs="Times New Roman"/>
          <w:sz w:val="32"/>
          <w:szCs w:val="32"/>
          <w:highlight w:val="none"/>
          <w:lang w:val="en-US" w:eastAsia="zh-CN"/>
        </w:rPr>
        <w:t>废胶水瓶、废乙醇瓶、废油墨盒、废丙酮瓶、不合格显示屏及模块</w:t>
      </w:r>
      <w:r>
        <w:rPr>
          <w:rFonts w:hint="eastAsia" w:ascii="Times New Roman" w:hAnsi="Times New Roman" w:eastAsia="仿宋_GB2312" w:cs="Times New Roman"/>
          <w:sz w:val="32"/>
          <w:szCs w:val="32"/>
          <w:highlight w:val="none"/>
          <w:lang w:val="en-US" w:eastAsia="zh-CN"/>
        </w:rPr>
        <w:t>和</w:t>
      </w:r>
      <w:r>
        <w:rPr>
          <w:rFonts w:hint="eastAsia" w:ascii="Times New Roman" w:hAnsi="Times New Roman" w:eastAsia="仿宋_GB2312" w:cs="Times New Roman"/>
          <w:sz w:val="32"/>
          <w:szCs w:val="32"/>
          <w:highlight w:val="none"/>
          <w:lang w:val="en-US" w:eastAsia="zh-CN"/>
        </w:rPr>
        <w:t>沾染乙醇和丙酮的废无尘布等</w:t>
      </w:r>
      <w:r>
        <w:rPr>
          <w:rFonts w:hint="eastAsia" w:ascii="Times New Roman" w:hAnsi="Times New Roman" w:eastAsia="仿宋_GB2312" w:cs="Times New Roman"/>
          <w:sz w:val="32"/>
          <w:szCs w:val="32"/>
          <w:highlight w:val="none"/>
          <w:lang w:eastAsia="zh-CN"/>
        </w:rPr>
        <w:t>危险废物</w:t>
      </w:r>
      <w:r>
        <w:rPr>
          <w:rFonts w:ascii="Times New Roman" w:hAnsi="Times New Roman" w:eastAsia="仿宋_GB2312" w:cs="Times New Roman"/>
          <w:sz w:val="32"/>
          <w:szCs w:val="32"/>
          <w:highlight w:val="none"/>
        </w:rPr>
        <w:t>须严格按照《危险废物贮存污染控制标准》（GB18597-</w:t>
      </w:r>
      <w:r>
        <w:rPr>
          <w:rFonts w:ascii="Times New Roman" w:hAnsi="Times New Roman" w:eastAsia="仿宋_GB2312"/>
          <w:sz w:val="32"/>
          <w:szCs w:val="32"/>
          <w:highlight w:val="none"/>
        </w:rPr>
        <w:t>20</w:t>
      </w:r>
      <w:r>
        <w:rPr>
          <w:rFonts w:hint="eastAsia" w:ascii="Times New Roman" w:hAnsi="Times New Roman" w:eastAsia="仿宋_GB2312"/>
          <w:sz w:val="32"/>
          <w:szCs w:val="32"/>
          <w:highlight w:val="none"/>
        </w:rPr>
        <w:t>23</w:t>
      </w:r>
      <w:r>
        <w:rPr>
          <w:rFonts w:ascii="Times New Roman" w:hAnsi="Times New Roman" w:eastAsia="仿宋_GB2312"/>
          <w:sz w:val="32"/>
          <w:szCs w:val="32"/>
          <w:highlight w:val="none"/>
        </w:rPr>
        <w:t>）相关规定要求进行收集和贮存，定期交由有资质单位处置；生活垃圾经统一收集后交环卫部门转运处置。</w:t>
      </w:r>
    </w:p>
    <w:p w14:paraId="59DDF5F8">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6C38994C">
      <w:pPr>
        <w:spacing w:line="548" w:lineRule="exact"/>
        <w:ind w:firstLine="640" w:firstLineChars="200"/>
        <w:rPr>
          <w:rFonts w:hint="eastAsia" w:eastAsia="仿宋_GB2312"/>
          <w:lang w:val="en-US" w:eastAsia="zh-CN"/>
        </w:rPr>
      </w:pPr>
      <w:r>
        <w:rPr>
          <w:rFonts w:hint="eastAsia" w:ascii="Times New Roman" w:hAnsi="Times New Roman" w:eastAsia="仿宋_GB2312"/>
          <w:sz w:val="32"/>
          <w:szCs w:val="32"/>
          <w:highlight w:val="none"/>
          <w:lang w:val="en-US" w:eastAsia="zh-CN"/>
        </w:rPr>
        <w:t>三、项目的环保设施必须与主体工程同时建成。项目建成后，建设单位须按照相关规定的标准、程序和时限对环保设施进行验收，验收合格后方可正式投入运营。</w:t>
      </w:r>
    </w:p>
    <w:p w14:paraId="15071BCA">
      <w:pPr>
        <w:spacing w:line="548"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四、</w:t>
      </w:r>
      <w:r>
        <w:rPr>
          <w:rFonts w:hint="eastAsia" w:ascii="Times New Roman" w:hAnsi="Times New Roman" w:eastAsia="仿宋_GB2312"/>
          <w:sz w:val="32"/>
          <w:szCs w:val="32"/>
          <w:highlight w:val="none"/>
          <w:lang w:val="en-US" w:eastAsia="zh-CN"/>
        </w:rPr>
        <w:t>项目实行污染物排放总量控制</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项目实施后，你单位主要污染物及排放量</w:t>
      </w:r>
      <w:r>
        <w:rPr>
          <w:rFonts w:hint="eastAsia" w:ascii="Times New Roman" w:hAnsi="Times New Roman" w:eastAsia="仿宋_GB2312" w:cs="Times New Roman"/>
          <w:sz w:val="32"/>
          <w:szCs w:val="32"/>
          <w:highlight w:val="none"/>
          <w:lang w:val="en-US" w:eastAsia="zh-CN"/>
        </w:rPr>
        <w:t>为：VOCs≤0.064</w:t>
      </w:r>
      <w:bookmarkStart w:id="1" w:name="_GoBack"/>
      <w:bookmarkEnd w:id="1"/>
      <w:r>
        <w:rPr>
          <w:rFonts w:hint="eastAsia" w:ascii="Times New Roman" w:hAnsi="Times New Roman" w:eastAsia="仿宋_GB2312" w:cs="Times New Roman"/>
          <w:sz w:val="32"/>
          <w:szCs w:val="32"/>
          <w:highlight w:val="none"/>
          <w:lang w:val="en-US" w:eastAsia="zh-CN"/>
        </w:rPr>
        <w:t>t/a。</w:t>
      </w:r>
    </w:p>
    <w:p w14:paraId="6DACA2F2">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五</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03729687">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建设单位应当重新报批环境影响评价文件；项目的环评文件自批准之日起超过五年后方决定开工建设的，其环境影响报告表应报重新审批</w:t>
      </w:r>
      <w:r>
        <w:rPr>
          <w:rFonts w:ascii="Times New Roman" w:hAnsi="Times New Roman" w:eastAsia="仿宋_GB2312"/>
          <w:sz w:val="32"/>
          <w:szCs w:val="32"/>
          <w:highlight w:val="none"/>
        </w:rPr>
        <w:t>。</w:t>
      </w:r>
    </w:p>
    <w:p w14:paraId="6FDEBCC0">
      <w:pPr>
        <w:pStyle w:val="4"/>
        <w:ind w:left="0" w:leftChars="0" w:firstLine="0" w:firstLineChars="0"/>
      </w:pPr>
    </w:p>
    <w:p w14:paraId="58D96327">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5A4D9375">
      <w:pPr>
        <w:spacing w:line="500" w:lineRule="exact"/>
        <w:ind w:firstLine="640" w:firstLineChars="200"/>
        <w:jc w:val="left"/>
        <w:rPr>
          <w:rFonts w:hint="eastAsia" w:ascii="Times New Roman" w:hAnsi="Times New Roman" w:eastAsia="仿宋_GB2312" w:cs="Times New Roman"/>
          <w:color w:val="auto"/>
          <w:sz w:val="32"/>
          <w:szCs w:val="32"/>
          <w:lang w:val="en-US" w:eastAsia="zh-CN"/>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7F" w:usb3="00000000" w:csb0="003F01FF" w:csb1="00000000"/>
  </w:font>
  <w:font w:name="仿宋_GB2312">
    <w:altName w:val="仿宋"/>
    <w:panose1 w:val="02010609030101010101"/>
    <w:charset w:val="86"/>
    <w:family w:val="modern"/>
    <w:pitch w:val="default"/>
    <w:sig w:usb0="00000000" w:usb1="00000000" w:usb2="00000000" w:usb3="00000000" w:csb0="00040000" w:csb1="00000000"/>
    <w:embedRegular r:id="rId1" w:fontKey="{A4C77D69-31F8-44B3-B0EE-56765D56AF09}"/>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panose1 w:val="02000000000000000000"/>
    <w:charset w:val="86"/>
    <w:family w:val="auto"/>
    <w:pitch w:val="default"/>
    <w:sig w:usb0="A00002BF" w:usb1="38CF7CFA" w:usb2="00082016" w:usb3="00000000" w:csb0="00040001" w:csb1="00000000"/>
    <w:embedRegular r:id="rId2" w:fontKey="{D2210085-C8D4-403B-8EE7-3FA46B9CE5B7}"/>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yOWU1MTg2MWY0NzRkYWY1ZjFjMzllM2Q3MDY3NmUifQ=="/>
    <w:docVar w:name="KSO_WPS_MARK_KEY" w:val="36e4c213-53a1-44d2-b581-cbba5f36c767"/>
  </w:docVars>
  <w:rsids>
    <w:rsidRoot w:val="00DD78AD"/>
    <w:rsid w:val="000B5261"/>
    <w:rsid w:val="000B6968"/>
    <w:rsid w:val="000E77B0"/>
    <w:rsid w:val="001A3773"/>
    <w:rsid w:val="002002ED"/>
    <w:rsid w:val="003047E9"/>
    <w:rsid w:val="00330861"/>
    <w:rsid w:val="0043505D"/>
    <w:rsid w:val="00470F75"/>
    <w:rsid w:val="0055023D"/>
    <w:rsid w:val="00573A74"/>
    <w:rsid w:val="005C5DF2"/>
    <w:rsid w:val="00655CA9"/>
    <w:rsid w:val="00687694"/>
    <w:rsid w:val="00692FA7"/>
    <w:rsid w:val="006E2D5B"/>
    <w:rsid w:val="007D0591"/>
    <w:rsid w:val="008E6FA5"/>
    <w:rsid w:val="00AA6EF8"/>
    <w:rsid w:val="00B82099"/>
    <w:rsid w:val="00C73B25"/>
    <w:rsid w:val="00DD78AD"/>
    <w:rsid w:val="00F0181C"/>
    <w:rsid w:val="017F11CD"/>
    <w:rsid w:val="01A37073"/>
    <w:rsid w:val="01C25065"/>
    <w:rsid w:val="01E66FA5"/>
    <w:rsid w:val="01FF3BC3"/>
    <w:rsid w:val="025C31E1"/>
    <w:rsid w:val="02816CCE"/>
    <w:rsid w:val="029562D6"/>
    <w:rsid w:val="02CE2AFD"/>
    <w:rsid w:val="033C2BF5"/>
    <w:rsid w:val="03822048"/>
    <w:rsid w:val="03C926DB"/>
    <w:rsid w:val="045245DB"/>
    <w:rsid w:val="047F0FEB"/>
    <w:rsid w:val="04B769D7"/>
    <w:rsid w:val="05241B93"/>
    <w:rsid w:val="0526590B"/>
    <w:rsid w:val="055D1BCE"/>
    <w:rsid w:val="05685F23"/>
    <w:rsid w:val="057331A2"/>
    <w:rsid w:val="057FD5AE"/>
    <w:rsid w:val="05AA653C"/>
    <w:rsid w:val="05D67212"/>
    <w:rsid w:val="06121633"/>
    <w:rsid w:val="0619193C"/>
    <w:rsid w:val="06540256"/>
    <w:rsid w:val="06FD4A88"/>
    <w:rsid w:val="076637D7"/>
    <w:rsid w:val="07756731"/>
    <w:rsid w:val="07BC0FAB"/>
    <w:rsid w:val="07BE62CF"/>
    <w:rsid w:val="088E16AD"/>
    <w:rsid w:val="08CE762F"/>
    <w:rsid w:val="092645AB"/>
    <w:rsid w:val="092959CA"/>
    <w:rsid w:val="09B259BF"/>
    <w:rsid w:val="09F1077A"/>
    <w:rsid w:val="0A740EC6"/>
    <w:rsid w:val="0A974E6F"/>
    <w:rsid w:val="0AA55524"/>
    <w:rsid w:val="0AE41BA8"/>
    <w:rsid w:val="0B6E3B68"/>
    <w:rsid w:val="0BBB490E"/>
    <w:rsid w:val="0BCD088E"/>
    <w:rsid w:val="0BD51A77"/>
    <w:rsid w:val="0C230DF6"/>
    <w:rsid w:val="0CA46429"/>
    <w:rsid w:val="0CC003F3"/>
    <w:rsid w:val="0CF12CA2"/>
    <w:rsid w:val="0D2E35AF"/>
    <w:rsid w:val="0DBC6E0C"/>
    <w:rsid w:val="0E8518F4"/>
    <w:rsid w:val="0EAF4BC3"/>
    <w:rsid w:val="0EE24C27"/>
    <w:rsid w:val="0F1D38DB"/>
    <w:rsid w:val="0F56503F"/>
    <w:rsid w:val="0F63457F"/>
    <w:rsid w:val="0FFB7A5A"/>
    <w:rsid w:val="100132CA"/>
    <w:rsid w:val="10417A9D"/>
    <w:rsid w:val="107C4CEE"/>
    <w:rsid w:val="10C61D50"/>
    <w:rsid w:val="10F93ED3"/>
    <w:rsid w:val="10FF162B"/>
    <w:rsid w:val="11357601"/>
    <w:rsid w:val="114A1804"/>
    <w:rsid w:val="11673533"/>
    <w:rsid w:val="116752E1"/>
    <w:rsid w:val="12B64DD7"/>
    <w:rsid w:val="12E96458"/>
    <w:rsid w:val="135D14AC"/>
    <w:rsid w:val="13CC1D73"/>
    <w:rsid w:val="14CF38C9"/>
    <w:rsid w:val="15345245"/>
    <w:rsid w:val="15AC3C0A"/>
    <w:rsid w:val="15C304CD"/>
    <w:rsid w:val="15E6711C"/>
    <w:rsid w:val="163C4F8E"/>
    <w:rsid w:val="16610551"/>
    <w:rsid w:val="166E2C6E"/>
    <w:rsid w:val="16BF171B"/>
    <w:rsid w:val="16C46D32"/>
    <w:rsid w:val="16E70DBC"/>
    <w:rsid w:val="17D64F6F"/>
    <w:rsid w:val="18136C1D"/>
    <w:rsid w:val="183D4FEE"/>
    <w:rsid w:val="184E796B"/>
    <w:rsid w:val="187A7FF0"/>
    <w:rsid w:val="18EB7C71"/>
    <w:rsid w:val="1921046B"/>
    <w:rsid w:val="195E346D"/>
    <w:rsid w:val="19DC4392"/>
    <w:rsid w:val="1A707374"/>
    <w:rsid w:val="1A770934"/>
    <w:rsid w:val="1A9435AF"/>
    <w:rsid w:val="1B3817DE"/>
    <w:rsid w:val="1C0158BF"/>
    <w:rsid w:val="1C217FF8"/>
    <w:rsid w:val="1C325BF9"/>
    <w:rsid w:val="1C4E77C9"/>
    <w:rsid w:val="1C766D20"/>
    <w:rsid w:val="1D6D113E"/>
    <w:rsid w:val="1D7C0366"/>
    <w:rsid w:val="1DFB74DD"/>
    <w:rsid w:val="1E073DD1"/>
    <w:rsid w:val="1E164317"/>
    <w:rsid w:val="1F0C1276"/>
    <w:rsid w:val="1F536EA5"/>
    <w:rsid w:val="1F7237CF"/>
    <w:rsid w:val="1FD7EC5C"/>
    <w:rsid w:val="200A35A2"/>
    <w:rsid w:val="20112FE8"/>
    <w:rsid w:val="20CA4B0B"/>
    <w:rsid w:val="20DB2206"/>
    <w:rsid w:val="20F52909"/>
    <w:rsid w:val="211508B6"/>
    <w:rsid w:val="2120725A"/>
    <w:rsid w:val="21582E98"/>
    <w:rsid w:val="215F5FD5"/>
    <w:rsid w:val="21863561"/>
    <w:rsid w:val="218D2B42"/>
    <w:rsid w:val="21BA632F"/>
    <w:rsid w:val="21ED71E0"/>
    <w:rsid w:val="22693F49"/>
    <w:rsid w:val="22D30A28"/>
    <w:rsid w:val="23B92B87"/>
    <w:rsid w:val="245711E5"/>
    <w:rsid w:val="24925A8E"/>
    <w:rsid w:val="24D942F0"/>
    <w:rsid w:val="2573204F"/>
    <w:rsid w:val="267E514F"/>
    <w:rsid w:val="270A3887"/>
    <w:rsid w:val="27826D90"/>
    <w:rsid w:val="27A209C9"/>
    <w:rsid w:val="27CC1EEA"/>
    <w:rsid w:val="27E234BC"/>
    <w:rsid w:val="27E44489"/>
    <w:rsid w:val="28153891"/>
    <w:rsid w:val="29736AC1"/>
    <w:rsid w:val="2A475858"/>
    <w:rsid w:val="2A6603D4"/>
    <w:rsid w:val="2A77438F"/>
    <w:rsid w:val="2AD4533E"/>
    <w:rsid w:val="2AE35581"/>
    <w:rsid w:val="2AEA2DB3"/>
    <w:rsid w:val="2B62123C"/>
    <w:rsid w:val="2BCA04EF"/>
    <w:rsid w:val="2C9805ED"/>
    <w:rsid w:val="2CB73169"/>
    <w:rsid w:val="2D9C5EBB"/>
    <w:rsid w:val="2DE77A94"/>
    <w:rsid w:val="2DF31F7F"/>
    <w:rsid w:val="2E0917A2"/>
    <w:rsid w:val="2E352597"/>
    <w:rsid w:val="2E6F0EEF"/>
    <w:rsid w:val="2E7B3D22"/>
    <w:rsid w:val="2E8C545B"/>
    <w:rsid w:val="2ECD4C73"/>
    <w:rsid w:val="2F230642"/>
    <w:rsid w:val="2F2EE0AA"/>
    <w:rsid w:val="305D5DD5"/>
    <w:rsid w:val="30717AD3"/>
    <w:rsid w:val="31291E9E"/>
    <w:rsid w:val="31DD5420"/>
    <w:rsid w:val="322546D1"/>
    <w:rsid w:val="32B53042"/>
    <w:rsid w:val="32E20814"/>
    <w:rsid w:val="32E33345"/>
    <w:rsid w:val="333252F7"/>
    <w:rsid w:val="344C063B"/>
    <w:rsid w:val="347656B7"/>
    <w:rsid w:val="349E076A"/>
    <w:rsid w:val="34A43174"/>
    <w:rsid w:val="34AC10D9"/>
    <w:rsid w:val="34E22D4D"/>
    <w:rsid w:val="35094B0E"/>
    <w:rsid w:val="35EF74CF"/>
    <w:rsid w:val="364D069A"/>
    <w:rsid w:val="365D08DD"/>
    <w:rsid w:val="36687282"/>
    <w:rsid w:val="36851BE2"/>
    <w:rsid w:val="36BE6EA2"/>
    <w:rsid w:val="370C40B1"/>
    <w:rsid w:val="37427AD3"/>
    <w:rsid w:val="374D6BA3"/>
    <w:rsid w:val="37645178"/>
    <w:rsid w:val="37A32991"/>
    <w:rsid w:val="37F76B0F"/>
    <w:rsid w:val="38F848ED"/>
    <w:rsid w:val="392207EA"/>
    <w:rsid w:val="3942200C"/>
    <w:rsid w:val="39785A2E"/>
    <w:rsid w:val="39A84565"/>
    <w:rsid w:val="39B50A30"/>
    <w:rsid w:val="3ABC7B9C"/>
    <w:rsid w:val="3B2E5AB3"/>
    <w:rsid w:val="3B40257B"/>
    <w:rsid w:val="3B854432"/>
    <w:rsid w:val="3C6F3666"/>
    <w:rsid w:val="3CA8662A"/>
    <w:rsid w:val="3D17730C"/>
    <w:rsid w:val="3D2C1009"/>
    <w:rsid w:val="3D336F35"/>
    <w:rsid w:val="3DC456E6"/>
    <w:rsid w:val="3DF76F09"/>
    <w:rsid w:val="3E82067B"/>
    <w:rsid w:val="3E8E08D2"/>
    <w:rsid w:val="3EB25411"/>
    <w:rsid w:val="3EB968CD"/>
    <w:rsid w:val="3EE651E8"/>
    <w:rsid w:val="3EF913BF"/>
    <w:rsid w:val="3EFE69D5"/>
    <w:rsid w:val="3F6C393F"/>
    <w:rsid w:val="3F744EE9"/>
    <w:rsid w:val="3FE200A5"/>
    <w:rsid w:val="3FF1B6FA"/>
    <w:rsid w:val="3FFD6C8D"/>
    <w:rsid w:val="403D52DB"/>
    <w:rsid w:val="40F57895"/>
    <w:rsid w:val="428B67D2"/>
    <w:rsid w:val="429F5DD9"/>
    <w:rsid w:val="434365FE"/>
    <w:rsid w:val="43AD2778"/>
    <w:rsid w:val="44642A0E"/>
    <w:rsid w:val="44784B34"/>
    <w:rsid w:val="451F76A5"/>
    <w:rsid w:val="45246A6A"/>
    <w:rsid w:val="452C6EED"/>
    <w:rsid w:val="45462E84"/>
    <w:rsid w:val="45D746D7"/>
    <w:rsid w:val="45DB181E"/>
    <w:rsid w:val="46722E9B"/>
    <w:rsid w:val="46A240EA"/>
    <w:rsid w:val="46D83FB0"/>
    <w:rsid w:val="471C71E0"/>
    <w:rsid w:val="47503B46"/>
    <w:rsid w:val="476D5AD5"/>
    <w:rsid w:val="478B2DD0"/>
    <w:rsid w:val="482A5A8F"/>
    <w:rsid w:val="48587156"/>
    <w:rsid w:val="48B450E7"/>
    <w:rsid w:val="48BD16AF"/>
    <w:rsid w:val="48C447EC"/>
    <w:rsid w:val="48E9664D"/>
    <w:rsid w:val="494871CB"/>
    <w:rsid w:val="49995C78"/>
    <w:rsid w:val="4A5D6CA6"/>
    <w:rsid w:val="4A6718D3"/>
    <w:rsid w:val="4AFA2747"/>
    <w:rsid w:val="4B5A31E5"/>
    <w:rsid w:val="4D137AF0"/>
    <w:rsid w:val="4D5819A6"/>
    <w:rsid w:val="4D6E2F78"/>
    <w:rsid w:val="4E037B64"/>
    <w:rsid w:val="4E165AE9"/>
    <w:rsid w:val="4E3719A5"/>
    <w:rsid w:val="4E802916"/>
    <w:rsid w:val="4E8862BB"/>
    <w:rsid w:val="4EC56BC8"/>
    <w:rsid w:val="4EF93603"/>
    <w:rsid w:val="4F0771E0"/>
    <w:rsid w:val="4F4B73EB"/>
    <w:rsid w:val="4F5D4461"/>
    <w:rsid w:val="4FAE58AE"/>
    <w:rsid w:val="506F328F"/>
    <w:rsid w:val="5079410E"/>
    <w:rsid w:val="5094496E"/>
    <w:rsid w:val="50EE4AFC"/>
    <w:rsid w:val="50EF43D0"/>
    <w:rsid w:val="511856D5"/>
    <w:rsid w:val="512B20B9"/>
    <w:rsid w:val="513242BC"/>
    <w:rsid w:val="516923D4"/>
    <w:rsid w:val="51713456"/>
    <w:rsid w:val="51B80C66"/>
    <w:rsid w:val="51C55131"/>
    <w:rsid w:val="51EB2DE9"/>
    <w:rsid w:val="520303FF"/>
    <w:rsid w:val="522462FB"/>
    <w:rsid w:val="523C53F3"/>
    <w:rsid w:val="523C68B1"/>
    <w:rsid w:val="52411D79"/>
    <w:rsid w:val="526E7576"/>
    <w:rsid w:val="52B7716F"/>
    <w:rsid w:val="53A70F92"/>
    <w:rsid w:val="540463E4"/>
    <w:rsid w:val="5409646C"/>
    <w:rsid w:val="547F1F0F"/>
    <w:rsid w:val="54D2203E"/>
    <w:rsid w:val="55717AA9"/>
    <w:rsid w:val="557F15BD"/>
    <w:rsid w:val="56186177"/>
    <w:rsid w:val="570E1063"/>
    <w:rsid w:val="573C7C43"/>
    <w:rsid w:val="5798756F"/>
    <w:rsid w:val="57C71C02"/>
    <w:rsid w:val="580E7831"/>
    <w:rsid w:val="58207565"/>
    <w:rsid w:val="58694A68"/>
    <w:rsid w:val="5875340D"/>
    <w:rsid w:val="58CE6FC1"/>
    <w:rsid w:val="590B1FC3"/>
    <w:rsid w:val="592F18B0"/>
    <w:rsid w:val="59A815C0"/>
    <w:rsid w:val="5A92474A"/>
    <w:rsid w:val="5AF41016"/>
    <w:rsid w:val="5B1E5FDD"/>
    <w:rsid w:val="5B773940"/>
    <w:rsid w:val="5B883228"/>
    <w:rsid w:val="5BB71B2F"/>
    <w:rsid w:val="5BFF0752"/>
    <w:rsid w:val="5C207B33"/>
    <w:rsid w:val="5C8E0F41"/>
    <w:rsid w:val="5CD64696"/>
    <w:rsid w:val="5CF45C09"/>
    <w:rsid w:val="5D18289B"/>
    <w:rsid w:val="5D5E6B65"/>
    <w:rsid w:val="5D6BF28B"/>
    <w:rsid w:val="5DE788CE"/>
    <w:rsid w:val="5E4C10B3"/>
    <w:rsid w:val="5E7A2FDC"/>
    <w:rsid w:val="5E86603B"/>
    <w:rsid w:val="5ED54C05"/>
    <w:rsid w:val="5F17346F"/>
    <w:rsid w:val="5F2E0EC5"/>
    <w:rsid w:val="5F8D3732"/>
    <w:rsid w:val="5FFB90F9"/>
    <w:rsid w:val="602E1B5A"/>
    <w:rsid w:val="607F58E2"/>
    <w:rsid w:val="608663C9"/>
    <w:rsid w:val="608C39E9"/>
    <w:rsid w:val="61042BF8"/>
    <w:rsid w:val="610C4B2A"/>
    <w:rsid w:val="615D7134"/>
    <w:rsid w:val="617D17A4"/>
    <w:rsid w:val="62425DA0"/>
    <w:rsid w:val="628F77FE"/>
    <w:rsid w:val="62970423"/>
    <w:rsid w:val="635A142A"/>
    <w:rsid w:val="636724EC"/>
    <w:rsid w:val="636E683C"/>
    <w:rsid w:val="63B3128D"/>
    <w:rsid w:val="63C35974"/>
    <w:rsid w:val="63E8362C"/>
    <w:rsid w:val="63FD5F77"/>
    <w:rsid w:val="646F864E"/>
    <w:rsid w:val="65F00576"/>
    <w:rsid w:val="662D4C06"/>
    <w:rsid w:val="665DB2E9"/>
    <w:rsid w:val="6677553A"/>
    <w:rsid w:val="673646AF"/>
    <w:rsid w:val="676F7BC1"/>
    <w:rsid w:val="678C0773"/>
    <w:rsid w:val="68077DF9"/>
    <w:rsid w:val="681F3395"/>
    <w:rsid w:val="6839910B"/>
    <w:rsid w:val="68CF0917"/>
    <w:rsid w:val="68E766B9"/>
    <w:rsid w:val="694E3F32"/>
    <w:rsid w:val="696937B3"/>
    <w:rsid w:val="69731BEA"/>
    <w:rsid w:val="69741127"/>
    <w:rsid w:val="69782708"/>
    <w:rsid w:val="69B62780"/>
    <w:rsid w:val="6A87465F"/>
    <w:rsid w:val="6AB204F0"/>
    <w:rsid w:val="6AE612DA"/>
    <w:rsid w:val="6AF6489D"/>
    <w:rsid w:val="6B113469"/>
    <w:rsid w:val="6B160A7F"/>
    <w:rsid w:val="6B23319C"/>
    <w:rsid w:val="6B655563"/>
    <w:rsid w:val="6BF92AC0"/>
    <w:rsid w:val="6C9757A9"/>
    <w:rsid w:val="6CD81D64"/>
    <w:rsid w:val="6CEDABCB"/>
    <w:rsid w:val="6D45389E"/>
    <w:rsid w:val="6DF21DB1"/>
    <w:rsid w:val="6E26547D"/>
    <w:rsid w:val="6E72091F"/>
    <w:rsid w:val="6EA34867"/>
    <w:rsid w:val="6EB34837"/>
    <w:rsid w:val="6EFD832E"/>
    <w:rsid w:val="6F451933"/>
    <w:rsid w:val="6FAF3FF4"/>
    <w:rsid w:val="6FD68C3B"/>
    <w:rsid w:val="6FE25C14"/>
    <w:rsid w:val="70082960"/>
    <w:rsid w:val="70117A67"/>
    <w:rsid w:val="70C669E3"/>
    <w:rsid w:val="714553F8"/>
    <w:rsid w:val="71861729"/>
    <w:rsid w:val="71893394"/>
    <w:rsid w:val="724B2684"/>
    <w:rsid w:val="725B1E99"/>
    <w:rsid w:val="72987FCC"/>
    <w:rsid w:val="72DF557A"/>
    <w:rsid w:val="730833A3"/>
    <w:rsid w:val="73571C35"/>
    <w:rsid w:val="737547B1"/>
    <w:rsid w:val="738B7B30"/>
    <w:rsid w:val="73D6524F"/>
    <w:rsid w:val="73F61362"/>
    <w:rsid w:val="745A7CD6"/>
    <w:rsid w:val="74B11819"/>
    <w:rsid w:val="750C6FDB"/>
    <w:rsid w:val="7521699E"/>
    <w:rsid w:val="757B3724"/>
    <w:rsid w:val="757C5983"/>
    <w:rsid w:val="75F145C2"/>
    <w:rsid w:val="769D2054"/>
    <w:rsid w:val="76DE728B"/>
    <w:rsid w:val="76F123A0"/>
    <w:rsid w:val="773329B9"/>
    <w:rsid w:val="775BC094"/>
    <w:rsid w:val="779571D0"/>
    <w:rsid w:val="77CD691B"/>
    <w:rsid w:val="77DF669D"/>
    <w:rsid w:val="77E5477E"/>
    <w:rsid w:val="77FC2DAB"/>
    <w:rsid w:val="780B56E4"/>
    <w:rsid w:val="78104AA8"/>
    <w:rsid w:val="786A240A"/>
    <w:rsid w:val="78742707"/>
    <w:rsid w:val="787B4617"/>
    <w:rsid w:val="78E026CC"/>
    <w:rsid w:val="790E7239"/>
    <w:rsid w:val="793B7903"/>
    <w:rsid w:val="7956298E"/>
    <w:rsid w:val="79C8388C"/>
    <w:rsid w:val="79E00438"/>
    <w:rsid w:val="7B4927AB"/>
    <w:rsid w:val="7B8437E3"/>
    <w:rsid w:val="7BC02341"/>
    <w:rsid w:val="7BD32074"/>
    <w:rsid w:val="7BD910F7"/>
    <w:rsid w:val="7C2A25DC"/>
    <w:rsid w:val="7C366302"/>
    <w:rsid w:val="7C3C0AA2"/>
    <w:rsid w:val="7CA0289E"/>
    <w:rsid w:val="7CE56503"/>
    <w:rsid w:val="7CE7227B"/>
    <w:rsid w:val="7CF7906F"/>
    <w:rsid w:val="7D126179"/>
    <w:rsid w:val="7D252DA4"/>
    <w:rsid w:val="7D341813"/>
    <w:rsid w:val="7D3A1C0A"/>
    <w:rsid w:val="7D48487A"/>
    <w:rsid w:val="7D951846"/>
    <w:rsid w:val="7DEEFFCE"/>
    <w:rsid w:val="7E1370A0"/>
    <w:rsid w:val="7E266DD3"/>
    <w:rsid w:val="7E5436F2"/>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after="120"/>
      <w:ind w:left="420" w:leftChars="200"/>
    </w:pPr>
    <w:rPr>
      <w:rFonts w:ascii="Times New Roman" w:hAnsi="Times New Roman" w:eastAsia="宋体"/>
    </w:rPr>
  </w:style>
  <w:style w:type="paragraph" w:styleId="4">
    <w:name w:val="Body Text First Indent 2"/>
    <w:basedOn w:val="3"/>
    <w:next w:val="5"/>
    <w:qFormat/>
    <w:uiPriority w:val="0"/>
    <w:pPr>
      <w:spacing w:line="360" w:lineRule="auto"/>
      <w:ind w:left="0" w:firstLine="1446" w:firstLineChars="200"/>
    </w:pPr>
  </w:style>
  <w:style w:type="paragraph" w:styleId="5">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8">
    <w:name w:val="Default"/>
    <w:basedOn w:val="9"/>
    <w:next w:val="1"/>
    <w:qFormat/>
    <w:uiPriority w:val="6"/>
    <w:rPr>
      <w:rFonts w:hAnsi="宋体" w:cs="宋体"/>
      <w:color w:val="000000"/>
      <w:sz w:val="24"/>
      <w:szCs w:val="24"/>
    </w:rPr>
  </w:style>
  <w:style w:type="paragraph" w:customStyle="1" w:styleId="9">
    <w:name w:val="纯文本1"/>
    <w:basedOn w:val="1"/>
    <w:qFormat/>
    <w:uiPriority w:val="0"/>
    <w:pPr>
      <w:adjustRightInd w:val="0"/>
    </w:pPr>
    <w:rPr>
      <w:rFonts w:ascii="宋体" w:hAnsi="Courier New"/>
      <w:szCs w:val="20"/>
    </w:rPr>
  </w:style>
  <w:style w:type="paragraph" w:customStyle="1" w:styleId="10">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 w:type="character" w:customStyle="1" w:styleId="13">
    <w:name w:val="标题 2 字符"/>
    <w:qFormat/>
    <w:uiPriority w:val="99"/>
    <w:rPr>
      <w:rFonts w:ascii="Times New Roman" w:hAnsi="Times New Roman" w:eastAsia="黑体"/>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2822</Words>
  <Characters>2983</Characters>
  <Lines>3</Lines>
  <Paragraphs>6</Paragraphs>
  <TotalTime>0</TotalTime>
  <ScaleCrop>false</ScaleCrop>
  <LinksUpToDate>false</LinksUpToDate>
  <CharactersWithSpaces>3056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FUNNY</cp:lastModifiedBy>
  <cp:lastPrinted>2024-08-14T01:11:00Z</cp:lastPrinted>
  <dcterms:modified xsi:type="dcterms:W3CDTF">2025-09-25T14:20:30Z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376F793660394DC58803731D32DDE978_13</vt:lpwstr>
  </property>
  <property fmtid="{D5CDD505-2E9C-101B-9397-08002B2CF9AE}" pid="4" name="KSOTemplateDocerSaveRecord">
    <vt:lpwstr>eyJoZGlkIjoiNDBjZmZhYTM5NTUyOGFlMjJhNjIzM2EzZDQ5MWJhOTAiLCJ1c2VySWQiOiIzMzI0ODA5MTMifQ==</vt:lpwstr>
  </property>
</Properties>
</file>