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2020年度</w:t>
      </w:r>
    </w:p>
    <w:p>
      <w:pPr>
        <w:pStyle w:val="9"/>
        <w:ind w:firstLine="1680" w:firstLineChars="200"/>
        <w:jc w:val="both"/>
        <w:rPr>
          <w:sz w:val="84"/>
          <w:szCs w:val="84"/>
        </w:rPr>
      </w:pPr>
      <w:r>
        <w:rPr>
          <w:rFonts w:hint="eastAsia"/>
          <w:sz w:val="84"/>
          <w:szCs w:val="84"/>
        </w:rPr>
        <w:t>湖南湘乡经济开发区</w:t>
      </w:r>
    </w:p>
    <w:p>
      <w:pPr>
        <w:pStyle w:val="9"/>
        <w:ind w:firstLine="1680"/>
        <w:jc w:val="both"/>
        <w:rPr>
          <w:sz w:val="84"/>
          <w:szCs w:val="84"/>
        </w:rPr>
      </w:pPr>
      <w:r>
        <w:rPr>
          <w:rFonts w:hint="eastAsia"/>
          <w:sz w:val="84"/>
          <w:szCs w:val="84"/>
        </w:rPr>
        <w:t>管理委员会部门决算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spacing w:line="500" w:lineRule="exact"/>
        <w:jc w:val="both"/>
        <w:rPr>
          <w:b/>
          <w:sz w:val="36"/>
          <w:szCs w:val="28"/>
        </w:rPr>
      </w:pPr>
    </w:p>
    <w:p>
      <w:pPr>
        <w:pStyle w:val="9"/>
        <w:spacing w:line="500" w:lineRule="exact"/>
        <w:jc w:val="both"/>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第一部分XX单位概况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p>
    <w:p>
      <w:pPr>
        <w:pStyle w:val="9"/>
        <w:jc w:val="center"/>
        <w:rPr>
          <w:sz w:val="84"/>
          <w:szCs w:val="84"/>
        </w:rPr>
      </w:pPr>
    </w:p>
    <w:p>
      <w:pPr>
        <w:pStyle w:val="9"/>
        <w:jc w:val="center"/>
        <w:rPr>
          <w:sz w:val="84"/>
          <w:szCs w:val="84"/>
        </w:rPr>
      </w:pPr>
      <w:r>
        <w:rPr>
          <w:rFonts w:hint="eastAsia"/>
          <w:sz w:val="84"/>
          <w:szCs w:val="84"/>
        </w:rPr>
        <w:t>湖南湘乡经济开发区管理委员会概况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line="580" w:lineRule="exact"/>
        <w:ind w:firstLine="800" w:firstLineChars="250"/>
        <w:rPr>
          <w:rFonts w:ascii="仿宋_GB2312" w:eastAsia="仿宋_GB2312" w:hAnsiTheme="minorEastAsia"/>
          <w:sz w:val="28"/>
          <w:szCs w:val="32"/>
        </w:rPr>
      </w:pPr>
      <w:r>
        <w:rPr>
          <w:rFonts w:hint="eastAsia"/>
          <w:bCs/>
          <w:sz w:val="32"/>
          <w:szCs w:val="32"/>
        </w:rPr>
        <w:t>湖南湘乡经济开发区管理委员会</w:t>
      </w:r>
      <w:r>
        <w:rPr>
          <w:rFonts w:hint="eastAsia"/>
          <w:sz w:val="32"/>
          <w:szCs w:val="32"/>
        </w:rPr>
        <w:t>主要职责：贯彻执行国家对开发区的相关法律、法规、政策，负责编制园区总体规划和专项发展规划并组织实施；负责审核园区的投资项目，并按照规定权限审批或报批；负责园区土地的综合管理和开发利用；负责园区各项基础设施和公共设施的建设和管理；负责管理园区的财政收支、规划控制、工程招标、权属登记、劳动人事、综合治理、计划生育等工作；负责指导协调园区招商引资、产业发展、对外经济技术合作和进出口事务等工作；负责承办市委、市政府交办的其他工作。</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520" w:lineRule="exact"/>
        <w:ind w:firstLine="640"/>
        <w:rPr>
          <w:rFonts w:ascii="仿宋" w:hAnsi="仿宋" w:eastAsia="仿宋" w:cs="仿宋"/>
          <w:sz w:val="32"/>
          <w:szCs w:val="24"/>
        </w:rPr>
      </w:pPr>
      <w:r>
        <w:rPr>
          <w:rFonts w:hint="eastAsia" w:asciiTheme="minorEastAsia" w:hAnsiTheme="minorEastAsia"/>
          <w:bCs/>
          <w:kern w:val="0"/>
          <w:sz w:val="32"/>
          <w:szCs w:val="32"/>
        </w:rPr>
        <w:t>（一）内设机构设置。</w:t>
      </w:r>
      <w:r>
        <w:rPr>
          <w:rFonts w:hint="eastAsia" w:ascii="宋体" w:hAnsi="宋体" w:eastAsia="宋体" w:cs="宋体"/>
          <w:sz w:val="32"/>
          <w:szCs w:val="24"/>
        </w:rPr>
        <w:t>湖南湘乡经济开发区管理委员会是湘乡市委、市人民政府的派出机构，副县级单位。湖南湘乡经济开发区管理委员会有办公室、招商合作局、产业发展局、建设管理局、财政局、社会事务局、应急管理局7个内设机构和征拆办、政务中心、纪检监察室3个内设部门，国土分局、经开区派出所两个派出机构；下辖湘乡市茶场、湘乡市园艺场、湘乡市经济开发区开发服务中心3个二级机构。</w:t>
      </w:r>
    </w:p>
    <w:p>
      <w:pPr>
        <w:jc w:val="left"/>
        <w:rPr>
          <w:rFonts w:ascii="黑体" w:hAnsi="黑体"/>
          <w:sz w:val="28"/>
          <w:szCs w:val="28"/>
        </w:rPr>
      </w:pPr>
      <w:r>
        <w:rPr>
          <w:rFonts w:hint="eastAsia" w:asciiTheme="minorEastAsia" w:hAnsiTheme="minorEastAsia"/>
          <w:bCs/>
          <w:kern w:val="0"/>
          <w:sz w:val="32"/>
          <w:szCs w:val="32"/>
        </w:rPr>
        <w:t>（二）决算单位构成。湖南湘乡经济开发区管理委员会</w:t>
      </w: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20年部门决算汇总公开单位为湖南湘乡经济开发区管理委员会本级。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081" w:type="dxa"/>
        <w:tblInd w:w="93" w:type="dxa"/>
        <w:tblLayout w:type="fixed"/>
        <w:tblCellMar>
          <w:top w:w="0" w:type="dxa"/>
          <w:left w:w="108" w:type="dxa"/>
          <w:bottom w:w="0" w:type="dxa"/>
          <w:right w:w="108" w:type="dxa"/>
        </w:tblCellMar>
      </w:tblPr>
      <w:tblGrid>
        <w:gridCol w:w="4033"/>
        <w:gridCol w:w="443"/>
        <w:gridCol w:w="770"/>
        <w:gridCol w:w="1638"/>
        <w:gridCol w:w="236"/>
        <w:gridCol w:w="3428"/>
        <w:gridCol w:w="487"/>
        <w:gridCol w:w="1725"/>
        <w:gridCol w:w="1321"/>
      </w:tblGrid>
      <w:tr>
        <w:tblPrEx>
          <w:tblCellMar>
            <w:top w:w="0" w:type="dxa"/>
            <w:left w:w="108" w:type="dxa"/>
            <w:bottom w:w="0" w:type="dxa"/>
            <w:right w:w="108" w:type="dxa"/>
          </w:tblCellMar>
        </w:tblPrEx>
        <w:trPr>
          <w:trHeight w:val="360" w:hRule="atLeast"/>
        </w:trPr>
        <w:tc>
          <w:tcPr>
            <w:tcW w:w="14081"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6"/>
                <w:szCs w:val="36"/>
              </w:rPr>
              <w:t>收入支出决算总表</w:t>
            </w:r>
          </w:p>
        </w:tc>
      </w:tr>
      <w:tr>
        <w:tblPrEx>
          <w:tblCellMar>
            <w:top w:w="0" w:type="dxa"/>
            <w:left w:w="108" w:type="dxa"/>
            <w:bottom w:w="0" w:type="dxa"/>
            <w:right w:w="108" w:type="dxa"/>
          </w:tblCellMar>
        </w:tblPrEx>
        <w:trPr>
          <w:trHeight w:val="199" w:hRule="atLeast"/>
        </w:trPr>
        <w:tc>
          <w:tcPr>
            <w:tcW w:w="524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640"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21" w:type="dxa"/>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4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部门：湖南湘乡经济开发区管理委员会</w:t>
            </w:r>
          </w:p>
        </w:tc>
        <w:tc>
          <w:tcPr>
            <w:tcW w:w="163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640"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21" w:type="dxa"/>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688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719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240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04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40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04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2"/>
              </w:rPr>
              <w:t>2</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30763.08</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31</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2745.37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11298　</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32</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33</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5062.17　</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34</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173.09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35</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59"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36</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9597.29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七、文化旅游体育与传媒支出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37</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38</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1662.81　</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九、卫生健康支出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39</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75.78</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十、节能环保支出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40</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2738.57</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十一、城乡社区支出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41</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11755.81</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十二、农林水支出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42</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173.99</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十三、交通运输支出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43</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十四、资源勘探工业信息等支出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44</w:t>
            </w:r>
          </w:p>
        </w:tc>
        <w:tc>
          <w:tcPr>
            <w:tcW w:w="304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2522.72</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十五、商业服务业等支出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45</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十六、金融支出</w:t>
            </w:r>
          </w:p>
        </w:tc>
        <w:tc>
          <w:tcPr>
            <w:tcW w:w="487" w:type="dxa"/>
            <w:tcBorders>
              <w:top w:val="nil"/>
              <w:left w:val="nil"/>
              <w:bottom w:val="single" w:color="auto" w:sz="4" w:space="0"/>
              <w:right w:val="single" w:color="auto" w:sz="4" w:space="0"/>
            </w:tcBorders>
            <w:shd w:val="clear" w:color="000000" w:fill="FFFFFF"/>
            <w:noWrap/>
            <w:vAlign w:val="center"/>
          </w:tcPr>
          <w:p>
            <w:pPr>
              <w:widowControl/>
              <w:rPr>
                <w:rFonts w:ascii="宋体" w:hAnsi="宋体" w:eastAsia="宋体" w:cs="宋体"/>
                <w:kern w:val="0"/>
                <w:sz w:val="22"/>
              </w:rPr>
            </w:pPr>
            <w:r>
              <w:rPr>
                <w:rFonts w:hint="eastAsia" w:ascii="宋体" w:hAnsi="宋体" w:eastAsia="宋体" w:cs="宋体"/>
                <w:kern w:val="0"/>
                <w:sz w:val="22"/>
              </w:rPr>
              <w:t>46</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十七、援助其他地区支出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47</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十八、自然资源海洋气象等支出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48</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十九、住房保障支出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49</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1664996</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二十、粮油物资储备支出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50</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二十一、国有资本经营预算支出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51</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二十二、灾害防治及应急管理支出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52</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427574</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二十三、其他支出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53</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二十四、债务还本支出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54</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二十五、债务付息支出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55</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二十六、抗疫特别国债安排的支出</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56</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47123.26　</w:t>
            </w: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57</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31654.69</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58</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29</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7599.63</w:t>
            </w:r>
          </w:p>
        </w:tc>
        <w:tc>
          <w:tcPr>
            <w:tcW w:w="36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59</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23068.21</w:t>
            </w:r>
          </w:p>
        </w:tc>
      </w:tr>
      <w:tr>
        <w:tblPrEx>
          <w:tblCellMar>
            <w:top w:w="0" w:type="dxa"/>
            <w:left w:w="108" w:type="dxa"/>
            <w:bottom w:w="0" w:type="dxa"/>
            <w:right w:w="108" w:type="dxa"/>
          </w:tblCellMar>
        </w:tblPrEx>
        <w:trPr>
          <w:trHeight w:val="340" w:hRule="atLeast"/>
        </w:trPr>
        <w:tc>
          <w:tcPr>
            <w:tcW w:w="4033"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30</w:t>
            </w:r>
          </w:p>
        </w:tc>
        <w:tc>
          <w:tcPr>
            <w:tcW w:w="240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54722.89</w:t>
            </w:r>
          </w:p>
        </w:tc>
        <w:tc>
          <w:tcPr>
            <w:tcW w:w="3664"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8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60</w:t>
            </w:r>
          </w:p>
        </w:tc>
        <w:tc>
          <w:tcPr>
            <w:tcW w:w="3046"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54722.89</w:t>
            </w:r>
          </w:p>
        </w:tc>
      </w:tr>
      <w:tr>
        <w:tblPrEx>
          <w:tblCellMar>
            <w:top w:w="0" w:type="dxa"/>
            <w:left w:w="108" w:type="dxa"/>
            <w:bottom w:w="0" w:type="dxa"/>
            <w:right w:w="108" w:type="dxa"/>
          </w:tblCellMar>
        </w:tblPrEx>
        <w:trPr>
          <w:trHeight w:val="1020" w:hRule="atLeast"/>
        </w:trPr>
        <w:tc>
          <w:tcPr>
            <w:tcW w:w="14081"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14926" w:type="dxa"/>
        <w:tblInd w:w="0" w:type="dxa"/>
        <w:tblLayout w:type="fixed"/>
        <w:tblCellMar>
          <w:top w:w="0" w:type="dxa"/>
          <w:left w:w="0" w:type="dxa"/>
          <w:bottom w:w="0" w:type="dxa"/>
          <w:right w:w="0" w:type="dxa"/>
        </w:tblCellMar>
      </w:tblPr>
      <w:tblGrid>
        <w:gridCol w:w="313"/>
        <w:gridCol w:w="530"/>
        <w:gridCol w:w="4706"/>
        <w:gridCol w:w="1462"/>
        <w:gridCol w:w="1388"/>
        <w:gridCol w:w="1369"/>
        <w:gridCol w:w="1012"/>
        <w:gridCol w:w="1069"/>
        <w:gridCol w:w="1781"/>
        <w:gridCol w:w="1296"/>
      </w:tblGrid>
      <w:tr>
        <w:tblPrEx>
          <w:tblCellMar>
            <w:top w:w="0" w:type="dxa"/>
            <w:left w:w="0" w:type="dxa"/>
            <w:bottom w:w="0" w:type="dxa"/>
            <w:right w:w="0" w:type="dxa"/>
          </w:tblCellMar>
        </w:tblPrEx>
        <w:trPr>
          <w:trHeight w:val="435" w:hRule="atLeast"/>
        </w:trPr>
        <w:tc>
          <w:tcPr>
            <w:tcW w:w="14926"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6"/>
                <w:szCs w:val="36"/>
              </w:rPr>
              <w:t>收入决算表</w:t>
            </w:r>
          </w:p>
        </w:tc>
      </w:tr>
      <w:tr>
        <w:tblPrEx>
          <w:tblCellMar>
            <w:top w:w="0" w:type="dxa"/>
            <w:left w:w="0" w:type="dxa"/>
            <w:bottom w:w="0" w:type="dxa"/>
            <w:right w:w="0" w:type="dxa"/>
          </w:tblCellMar>
        </w:tblPrEx>
        <w:trPr>
          <w:trHeight w:val="285" w:hRule="atLeast"/>
        </w:trPr>
        <w:tc>
          <w:tcPr>
            <w:tcW w:w="31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53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70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843"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4706"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rPr>
              <w:t>湖南湘乡经济开发区管理委员会　</w:t>
            </w:r>
          </w:p>
        </w:tc>
        <w:tc>
          <w:tcPr>
            <w:tcW w:w="146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8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9"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0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54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4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38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0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06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8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2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84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4706"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46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843"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4706"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8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6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81"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54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46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38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6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0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06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2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554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47123.26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42061.08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5062.17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rPr>
              <w:t>201　</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一般公共服务支出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12232.70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12183.28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49.42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1"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cs="宋体"/>
                <w:sz w:val="24"/>
                <w:szCs w:val="24"/>
              </w:rPr>
            </w:pPr>
            <w:r>
              <w:rPr>
                <w:rFonts w:hint="eastAsia"/>
              </w:rPr>
              <w:t>20103</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政府办公厅（室）及相关机构事务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4"/>
                <w:szCs w:val="24"/>
              </w:rPr>
            </w:pPr>
            <w:r>
              <w:rPr>
                <w:rFonts w:hint="eastAsia" w:ascii="华文中宋" w:hAnsi="华文中宋" w:eastAsia="华文中宋"/>
              </w:rPr>
              <w:t>11577.70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11528.28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49.42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cs="宋体"/>
                <w:sz w:val="24"/>
                <w:szCs w:val="24"/>
              </w:rPr>
            </w:pPr>
            <w:r>
              <w:rPr>
                <w:rFonts w:hint="eastAsia"/>
              </w:rPr>
              <w:t>2010301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　行政运行</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11577.70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11528.28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49.42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20113</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商贸事务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288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288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67"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2011308</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cs="宋体"/>
                <w:sz w:val="24"/>
                <w:szCs w:val="24"/>
              </w:rPr>
            </w:pPr>
            <w:r>
              <w:rPr>
                <w:rFonts w:hint="eastAsia"/>
              </w:rPr>
              <w:t>　招商引资</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288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288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27"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20131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r>
              <w:rPr>
                <w:rFonts w:hint="eastAsia"/>
              </w:rPr>
              <w:t>党委办公厅（室）及相关机构事务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267</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267</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2013105</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专项业务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267　</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267　</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20199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其他一般公共服务支出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2019999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其他一般公共服务支出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204</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公共安全支出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173.09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173.09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20402</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公安</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173.09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173.09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2040299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其他公安支出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173.09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173.09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206</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科学技术支出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12350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12350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20604</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技术研究与开发</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12350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12350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2060499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其他技术研究与开发支出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12350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12350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208</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社会保障和就业支出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1667.20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1667.20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20805</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行政事业单位养老支出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164.88</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164.88</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2080505</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机关事业单位基本养老保险缴费支出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113.68</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113.68</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2080506</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机关事业单位职业年金缴费支出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51.19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51.19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20899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其他社会保障和就业支出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1502.32</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1502.32</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2089901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其他社会保障和就业支出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1502.32</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1502.32</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210</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卫生健康支出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10.69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10.69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21011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行政事业单位医疗</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10.69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10.69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2101102</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事业单位医疗</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10.69</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10.69</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节能环保支出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5079.15</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1219.15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3860</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21102</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环境监测与监察</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330.2</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330.2</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2110299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ind w:firstLine="210" w:firstLineChars="100"/>
              <w:rPr>
                <w:rFonts w:ascii="宋体" w:hAnsi="宋体" w:eastAsia="宋体" w:cs="宋体"/>
                <w:szCs w:val="21"/>
              </w:rPr>
            </w:pPr>
            <w:r>
              <w:rPr>
                <w:rFonts w:hint="eastAsia" w:ascii="宋体" w:hAnsi="宋体" w:eastAsia="宋体" w:cs="宋体"/>
                <w:szCs w:val="21"/>
              </w:rPr>
              <w:t>其他环境监测与监察支出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330.2</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330.2</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left"/>
              <w:rPr>
                <w:rFonts w:ascii="宋体" w:hAnsi="宋体" w:eastAsia="宋体" w:cs="宋体"/>
                <w:szCs w:val="21"/>
              </w:rPr>
            </w:pPr>
            <w:r>
              <w:rPr>
                <w:rFonts w:hint="eastAsia" w:ascii="宋体" w:hAnsi="宋体" w:eastAsia="宋体" w:cs="宋体"/>
                <w:szCs w:val="21"/>
              </w:rPr>
              <w:t>21103</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宋体"/>
                <w:szCs w:val="21"/>
              </w:rPr>
            </w:pPr>
            <w:r>
              <w:rPr>
                <w:rFonts w:hint="eastAsia" w:ascii="宋体" w:hAnsi="宋体" w:eastAsia="宋体" w:cs="宋体"/>
                <w:szCs w:val="21"/>
              </w:rPr>
              <w:t>污染防治</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4748.95</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888.95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3860</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2110399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其他污染防治支出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4748.95</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888.95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3860</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城乡社区支出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11994</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11868</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126</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城乡社区管理事务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2120104</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城管执法</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21202</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城乡社区规划与管理</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2120201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城乡社区规划与管理</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200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21203</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城乡社区公共设施</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126</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126</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2120399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其他城乡社区公共设施支出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126</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126</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21205</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城乡社区环境卫生</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2120501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城乡社区环境卫生</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21208</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国有土地使用权出让收入安排的支出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11298</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11298</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2120899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其他国有土地使用权出让收入安排的支出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11298</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11298</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213</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农林水支出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377.31</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29.76</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79.75</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21301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农业农村</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377.31</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29.76</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79.75</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2130104</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事业运行</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181.01</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181.01</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2130199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其他农业农村支出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196.3</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116.55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79.75</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214</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交通运输支出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21401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公路水路运输</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2140199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其他公路水路运输支出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215</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资源勘探工业信息等支出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2674.05</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1727.05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947</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21508</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支持中小企业发展和管理支出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2674.05</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1727.05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947</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2150899</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其他支持中小企业发展和管理支出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2674.05</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1727.05</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947</w:t>
            </w: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221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住房保障支出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22102</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住房革支出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2210201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住房公积金</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166.50</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166.50</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224</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灾害防治及应急管理支出</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132.4</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132.4</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22401</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应急管理事务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132.4</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132.4</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2240106</w:t>
            </w:r>
          </w:p>
        </w:tc>
        <w:tc>
          <w:tcPr>
            <w:tcW w:w="47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szCs w:val="21"/>
              </w:rPr>
            </w:pPr>
            <w:r>
              <w:rPr>
                <w:rFonts w:hint="eastAsia"/>
                <w:szCs w:val="21"/>
              </w:rPr>
              <w:t xml:space="preserve">  安全监管</w:t>
            </w:r>
          </w:p>
        </w:tc>
        <w:tc>
          <w:tcPr>
            <w:tcW w:w="146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132.4</w:t>
            </w:r>
          </w:p>
        </w:tc>
        <w:tc>
          <w:tcPr>
            <w:tcW w:w="138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r>
              <w:rPr>
                <w:rFonts w:hint="eastAsia"/>
              </w:rPr>
              <w:t>132.4</w:t>
            </w:r>
          </w:p>
        </w:tc>
        <w:tc>
          <w:tcPr>
            <w:tcW w:w="13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06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78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12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615" w:hRule="atLeast"/>
        </w:trPr>
        <w:tc>
          <w:tcPr>
            <w:tcW w:w="14926"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rPr>
          <w:rFonts w:ascii="Times New Roman" w:hAnsi="Times New Roman" w:eastAsia="方正小标宋_GBK" w:cs="Times New Roman"/>
          <w:color w:val="000000"/>
          <w:kern w:val="0"/>
          <w:sz w:val="36"/>
          <w:szCs w:val="36"/>
        </w:rPr>
      </w:pPr>
    </w:p>
    <w:tbl>
      <w:tblPr>
        <w:tblStyle w:val="5"/>
        <w:tblW w:w="15018" w:type="dxa"/>
        <w:tblInd w:w="93" w:type="dxa"/>
        <w:tblLayout w:type="fixed"/>
        <w:tblCellMar>
          <w:top w:w="0" w:type="dxa"/>
          <w:left w:w="108" w:type="dxa"/>
          <w:bottom w:w="0" w:type="dxa"/>
          <w:right w:w="108" w:type="dxa"/>
        </w:tblCellMar>
      </w:tblPr>
      <w:tblGrid>
        <w:gridCol w:w="749"/>
        <w:gridCol w:w="533"/>
        <w:gridCol w:w="4814"/>
        <w:gridCol w:w="240"/>
        <w:gridCol w:w="1542"/>
        <w:gridCol w:w="240"/>
        <w:gridCol w:w="1185"/>
        <w:gridCol w:w="240"/>
        <w:gridCol w:w="1260"/>
        <w:gridCol w:w="240"/>
        <w:gridCol w:w="1072"/>
        <w:gridCol w:w="240"/>
        <w:gridCol w:w="998"/>
        <w:gridCol w:w="240"/>
        <w:gridCol w:w="1425"/>
      </w:tblGrid>
      <w:tr>
        <w:tblPrEx>
          <w:tblCellMar>
            <w:top w:w="0" w:type="dxa"/>
            <w:left w:w="108" w:type="dxa"/>
            <w:bottom w:w="0" w:type="dxa"/>
            <w:right w:w="108" w:type="dxa"/>
          </w:tblCellMar>
        </w:tblPrEx>
        <w:trPr>
          <w:trHeight w:val="435" w:hRule="atLeast"/>
        </w:trPr>
        <w:tc>
          <w:tcPr>
            <w:tcW w:w="15018" w:type="dxa"/>
            <w:gridSpan w:val="15"/>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6"/>
                <w:szCs w:val="36"/>
              </w:rPr>
              <w:t>支出决算表</w:t>
            </w:r>
          </w:p>
        </w:tc>
      </w:tr>
      <w:tr>
        <w:tblPrEx>
          <w:tblCellMar>
            <w:top w:w="0" w:type="dxa"/>
            <w:left w:w="108" w:type="dxa"/>
            <w:bottom w:w="0" w:type="dxa"/>
            <w:right w:w="108" w:type="dxa"/>
          </w:tblCellMar>
        </w:tblPrEx>
        <w:trPr>
          <w:trHeight w:val="294" w:hRule="atLeast"/>
        </w:trPr>
        <w:tc>
          <w:tcPr>
            <w:tcW w:w="7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34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8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6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749"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部门：</w:t>
            </w:r>
          </w:p>
        </w:tc>
        <w:tc>
          <w:tcPr>
            <w:tcW w:w="5347" w:type="dxa"/>
            <w:gridSpan w:val="2"/>
            <w:tcBorders>
              <w:top w:val="nil"/>
              <w:left w:val="nil"/>
              <w:bottom w:val="nil"/>
              <w:right w:val="nil"/>
            </w:tcBorders>
            <w:shd w:val="clear" w:color="000000" w:fill="FFFFFF"/>
            <w:noWrap/>
            <w:vAlign w:val="center"/>
          </w:tcPr>
          <w:p>
            <w:pPr>
              <w:widowControl/>
              <w:jc w:val="left"/>
              <w:rPr>
                <w:rFonts w:ascii="宋体" w:hAnsi="宋体" w:eastAsia="宋体" w:cs="宋体"/>
                <w:kern w:val="0"/>
                <w:szCs w:val="21"/>
              </w:rPr>
            </w:pPr>
            <w:r>
              <w:rPr>
                <w:rFonts w:hint="eastAsia" w:ascii="宋体" w:hAnsi="宋体" w:eastAsia="宋体" w:cs="宋体"/>
                <w:kern w:val="0"/>
                <w:szCs w:val="21"/>
              </w:rPr>
              <w:t>湖南湘乡经济开发区管理委员会　</w:t>
            </w:r>
          </w:p>
        </w:tc>
        <w:tc>
          <w:tcPr>
            <w:tcW w:w="178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gridSpan w:val="2"/>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12"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38"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6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6336"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2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1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3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82"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5054" w:type="dxa"/>
            <w:gridSpan w:val="2"/>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1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5054"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8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31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3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633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25"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0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1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3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4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633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31654.69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2370.45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29284.23　</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 w:val="24"/>
                <w:szCs w:val="24"/>
              </w:rPr>
            </w:pPr>
            <w:r>
              <w:rPr>
                <w:rFonts w:hint="eastAsia"/>
              </w:rPr>
              <w:t>201　</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cs="宋体"/>
                <w:sz w:val="24"/>
                <w:szCs w:val="24"/>
              </w:rPr>
            </w:pPr>
            <w:r>
              <w:rPr>
                <w:rFonts w:hint="eastAsia"/>
              </w:rPr>
              <w:t>一般公共服务支出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2745.37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1867.39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877.98　</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cs="宋体"/>
                <w:sz w:val="24"/>
                <w:szCs w:val="24"/>
              </w:rPr>
            </w:pPr>
            <w:r>
              <w:rPr>
                <w:rFonts w:hint="eastAsia"/>
              </w:rPr>
              <w:t>20103</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cs="宋体"/>
                <w:sz w:val="24"/>
                <w:szCs w:val="24"/>
              </w:rPr>
            </w:pPr>
            <w:r>
              <w:rPr>
                <w:rFonts w:hint="eastAsia"/>
              </w:rPr>
              <w:t>政府办公厅（室）及相关机构事务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2397.84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1867.39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530.44　</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cs="宋体"/>
                <w:sz w:val="24"/>
                <w:szCs w:val="24"/>
              </w:rPr>
            </w:pPr>
            <w:r>
              <w:rPr>
                <w:rFonts w:hint="eastAsia"/>
              </w:rPr>
              <w:t>2010301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cs="宋体"/>
                <w:sz w:val="24"/>
                <w:szCs w:val="24"/>
              </w:rPr>
            </w:pPr>
            <w:r>
              <w:rPr>
                <w:rFonts w:hint="eastAsia"/>
              </w:rPr>
              <w:t>　行政运行</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2397.84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1867.39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530.44　</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cs="宋体"/>
                <w:sz w:val="24"/>
                <w:szCs w:val="24"/>
              </w:rPr>
            </w:pPr>
            <w:r>
              <w:rPr>
                <w:rFonts w:hint="eastAsia"/>
              </w:rPr>
              <w:t>20113</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cs="宋体"/>
                <w:sz w:val="24"/>
                <w:szCs w:val="24"/>
              </w:rPr>
            </w:pPr>
            <w:r>
              <w:rPr>
                <w:rFonts w:hint="eastAsia"/>
              </w:rPr>
              <w:t>商贸事务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243.1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243.1</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2011308</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cs="宋体"/>
                <w:sz w:val="24"/>
                <w:szCs w:val="24"/>
              </w:rPr>
            </w:pPr>
            <w:r>
              <w:rPr>
                <w:rFonts w:hint="eastAsia"/>
              </w:rPr>
              <w:t>　招商引资</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243.1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243.1　</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20131</w:t>
            </w:r>
          </w:p>
        </w:tc>
        <w:tc>
          <w:tcPr>
            <w:tcW w:w="5054" w:type="dxa"/>
            <w:gridSpan w:val="2"/>
            <w:tcBorders>
              <w:top w:val="nil"/>
              <w:left w:val="nil"/>
              <w:bottom w:val="single" w:color="auto" w:sz="4" w:space="0"/>
              <w:right w:val="single" w:color="auto" w:sz="4" w:space="0"/>
            </w:tcBorders>
            <w:shd w:val="clear" w:color="000000" w:fill="FFFFFF"/>
            <w:noWrap/>
            <w:vAlign w:val="center"/>
          </w:tcPr>
          <w:p>
            <w:r>
              <w:rPr>
                <w:rFonts w:hint="eastAsia"/>
              </w:rPr>
              <w:t>党委办公厅（室）及相关机构事务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76.25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76.25</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2013105</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专项业务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76.25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76.25</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20199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其他一般公共服务支出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28.18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28.18</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2019999</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其他一般公共服务支出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28.18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28.18</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204</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公共安全支出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173.09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173.09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20402</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公安</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173.09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173.09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2040299</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其他公安支出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173.09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173.09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206</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科学技术支出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9597.29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9597.29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20604</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技术研究与开发</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9597.29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9597.29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2060499</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其他技术研究与开发支出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9597.29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9597.29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208</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社会保障和就业支出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1662.81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160.49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1502.32</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20805</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行政事业单位养老支出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160.49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160.49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2080505</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机关事业单位基本养老保险缴费支出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113.68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113.68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2080506</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机关事业单位职业年金缴费支出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46.8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46.8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20899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其他社会保障和就业支出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1502.32</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1502.32</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2089901</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其他社会保障和就业支出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1502.32</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1502.32</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210</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卫生健康支出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75.78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75.78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21011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行政事业单位医疗</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75.78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75.78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2101102</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事业单位医疗</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75.78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75.78</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节能环保支出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2738.57</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2738.57</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21102</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环境监测与监察</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38.13</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38.13</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2110299</w:t>
            </w:r>
          </w:p>
        </w:tc>
        <w:tc>
          <w:tcPr>
            <w:tcW w:w="5054" w:type="dxa"/>
            <w:gridSpan w:val="2"/>
            <w:tcBorders>
              <w:top w:val="nil"/>
              <w:left w:val="nil"/>
              <w:bottom w:val="single" w:color="auto" w:sz="4" w:space="0"/>
              <w:right w:val="single" w:color="auto" w:sz="4" w:space="0"/>
            </w:tcBorders>
            <w:shd w:val="clear" w:color="000000" w:fill="FFFFFF"/>
            <w:noWrap/>
            <w:vAlign w:val="center"/>
          </w:tcPr>
          <w:p>
            <w:pPr>
              <w:ind w:firstLine="210" w:firstLineChars="100"/>
              <w:rPr>
                <w:rFonts w:ascii="宋体" w:hAnsi="宋体" w:eastAsia="宋体" w:cs="宋体"/>
                <w:szCs w:val="21"/>
              </w:rPr>
            </w:pPr>
            <w:r>
              <w:rPr>
                <w:rFonts w:hint="eastAsia" w:ascii="宋体" w:hAnsi="宋体" w:eastAsia="宋体" w:cs="宋体"/>
                <w:szCs w:val="21"/>
              </w:rPr>
              <w:t>其他环境监测与监察支出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38.13</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38.13</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left"/>
              <w:rPr>
                <w:rFonts w:ascii="宋体" w:hAnsi="宋体" w:eastAsia="宋体" w:cs="宋体"/>
                <w:szCs w:val="21"/>
              </w:rPr>
            </w:pPr>
            <w:r>
              <w:rPr>
                <w:rFonts w:hint="eastAsia" w:ascii="宋体" w:hAnsi="宋体" w:eastAsia="宋体" w:cs="宋体"/>
                <w:szCs w:val="21"/>
              </w:rPr>
              <w:t>21103</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rFonts w:ascii="宋体" w:hAnsi="宋体" w:eastAsia="宋体" w:cs="宋体"/>
                <w:szCs w:val="21"/>
              </w:rPr>
            </w:pPr>
            <w:r>
              <w:rPr>
                <w:rFonts w:hint="eastAsia" w:ascii="宋体" w:hAnsi="宋体" w:eastAsia="宋体" w:cs="宋体"/>
                <w:szCs w:val="21"/>
              </w:rPr>
              <w:t>污染防治</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2700.44</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2700.44</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2110399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其他污染防治支出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2700.44</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2700.44</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城乡社区支出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11755.81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11755.81</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城乡社区管理事务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12.69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12.69</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2120104</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城管执法</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12.69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12.69　</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21202</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城乡社区规划与管理</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80.41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80.41</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2120201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城乡社区规划与管理</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80.41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80.41</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21203</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城乡社区公共设施</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18.33</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18.33</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2120399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其他城乡社区公共设施支出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18.33</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18.33</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21205</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城乡社区环境卫生</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346.38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346.38</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2120501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城乡社区环境卫生</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346.38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346.38</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21208</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国有土地使用权出让收入安排的支出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11298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11298</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2120899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其他国有土地使用权出让收入安排的支出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11298</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11298</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213</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农林水支出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173.99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100.29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73.7</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21301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农业农村</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173.99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100.29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73.7</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2130104</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事业运行</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100.29</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100.29</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2130199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其他农业农村支出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73.7</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73.7</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215</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资源勘探工业信息等支出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2522.72</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2522.72</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21508</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支持中小企业发展和管理支出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2522.72</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2522.72</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2150899</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其他支持中小企业发展和管理支出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2522.72</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2522.72</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221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住房保障支出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166.5</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22102</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住房革支出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166.5</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2210201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住房公积金</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166.5</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224</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灾害防治及应急管理支出</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42.76</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42.76</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22401</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应急管理事务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42.76</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42.76</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p>
        </w:tc>
      </w:tr>
      <w:tr>
        <w:tblPrEx>
          <w:tblCellMar>
            <w:top w:w="0" w:type="dxa"/>
            <w:left w:w="108" w:type="dxa"/>
            <w:bottom w:w="0" w:type="dxa"/>
            <w:right w:w="108" w:type="dxa"/>
          </w:tblCellMar>
        </w:tblPrEx>
        <w:trPr>
          <w:trHeight w:val="450" w:hRule="atLeast"/>
        </w:trPr>
        <w:tc>
          <w:tcPr>
            <w:tcW w:w="1282"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rPr>
                <w:szCs w:val="21"/>
              </w:rPr>
            </w:pPr>
            <w:r>
              <w:rPr>
                <w:rFonts w:hint="eastAsia"/>
                <w:szCs w:val="21"/>
              </w:rPr>
              <w:t>2240106</w:t>
            </w:r>
          </w:p>
        </w:tc>
        <w:tc>
          <w:tcPr>
            <w:tcW w:w="5054" w:type="dxa"/>
            <w:gridSpan w:val="2"/>
            <w:tcBorders>
              <w:top w:val="nil"/>
              <w:left w:val="nil"/>
              <w:bottom w:val="single" w:color="auto" w:sz="4" w:space="0"/>
              <w:right w:val="single" w:color="auto" w:sz="4" w:space="0"/>
            </w:tcBorders>
            <w:shd w:val="clear" w:color="000000" w:fill="FFFFFF"/>
            <w:noWrap/>
            <w:vAlign w:val="center"/>
          </w:tcPr>
          <w:p>
            <w:pPr>
              <w:rPr>
                <w:szCs w:val="21"/>
              </w:rPr>
            </w:pPr>
            <w:r>
              <w:rPr>
                <w:rFonts w:hint="eastAsia"/>
                <w:szCs w:val="21"/>
              </w:rPr>
              <w:t xml:space="preserve">  安全监管</w:t>
            </w:r>
          </w:p>
        </w:tc>
        <w:tc>
          <w:tcPr>
            <w:tcW w:w="178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42.76　</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50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42.76</w:t>
            </w:r>
          </w:p>
        </w:tc>
        <w:tc>
          <w:tcPr>
            <w:tcW w:w="1312"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23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630" w:hRule="atLeast"/>
        </w:trPr>
        <w:tc>
          <w:tcPr>
            <w:tcW w:w="15018" w:type="dxa"/>
            <w:gridSpan w:val="15"/>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21"/>
        </w:rPr>
      </w:pPr>
    </w:p>
    <w:tbl>
      <w:tblPr>
        <w:tblStyle w:val="5"/>
        <w:tblW w:w="15618" w:type="dxa"/>
        <w:tblInd w:w="93" w:type="dxa"/>
        <w:tblLayout w:type="fixed"/>
        <w:tblCellMar>
          <w:top w:w="0" w:type="dxa"/>
          <w:left w:w="108" w:type="dxa"/>
          <w:bottom w:w="0" w:type="dxa"/>
          <w:right w:w="108" w:type="dxa"/>
        </w:tblCellMar>
      </w:tblPr>
      <w:tblGrid>
        <w:gridCol w:w="3595"/>
        <w:gridCol w:w="436"/>
        <w:gridCol w:w="1574"/>
        <w:gridCol w:w="131"/>
        <w:gridCol w:w="3416"/>
        <w:gridCol w:w="485"/>
        <w:gridCol w:w="1649"/>
        <w:gridCol w:w="1595"/>
        <w:gridCol w:w="1574"/>
        <w:gridCol w:w="116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8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649"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9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16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618"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6"/>
                <w:szCs w:val="36"/>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1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6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部门：湖南湘乡经济开发区管理委员会</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5"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41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4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163" w:type="dxa"/>
            <w:tcBorders>
              <w:top w:val="nil"/>
              <w:left w:val="nil"/>
              <w:bottom w:val="nil"/>
              <w:right w:val="nil"/>
            </w:tcBorders>
            <w:shd w:val="clear" w:color="000000" w:fill="FFFFFF"/>
            <w:noWrap/>
            <w:vAlign w:val="center"/>
          </w:tcPr>
          <w:p>
            <w:pPr>
              <w:widowControl/>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736"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882"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9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1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30763.08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33</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2743.7</w:t>
            </w:r>
          </w:p>
        </w:tc>
        <w:tc>
          <w:tcPr>
            <w:tcW w:w="1595"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kern w:val="0"/>
                <w:sz w:val="22"/>
              </w:rPr>
            </w:pPr>
            <w:r>
              <w:rPr>
                <w:rFonts w:hint="eastAsia" w:ascii="宋体" w:hAnsi="宋体" w:eastAsia="宋体" w:cs="宋体"/>
                <w:kern w:val="0"/>
                <w:sz w:val="22"/>
              </w:rPr>
              <w:t>2743.7</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11298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34</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35</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36</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173.09</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173.09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37</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38</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9597.29</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9597.29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七、文化旅游体育与传媒支出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39</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八、社会保障和就业支出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40</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1662.81</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1662.81</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九、卫生健康支出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41</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75.78</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75.78</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十、节能环保支出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42</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938.57</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938.57</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十一、城乡社区支出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43</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11737.47</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439.47</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11298</w:t>
            </w: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十二、农林水支出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44</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123.99</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123.99</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十三、交通运输支出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45</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十四、资源勘探工业信息等支出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46</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1748.72</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1748.72</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十五、商业服务业等支出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47</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十六、金融支出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48</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十七、援助其他地区支出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49</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十八、自然资源海洋气象等支出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50</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十九、住房保障支出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51</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166.5</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166.5</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二十、粮油物资储备支出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52</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二十一、国有资本经营预算支出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53</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二十二、灾害防治及应急管理支出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54</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42.75</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42.75</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二十三、其他支出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55</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二十四、债务还本支出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56</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二十五、债务付息支出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57</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二十六、抗疫特别国债安排的支出</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58</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42061.08　</w:t>
            </w:r>
          </w:p>
        </w:tc>
        <w:tc>
          <w:tcPr>
            <w:tcW w:w="34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59</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29010.68</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17712.68</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11298　</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7470.39　</w:t>
            </w:r>
          </w:p>
        </w:tc>
        <w:tc>
          <w:tcPr>
            <w:tcW w:w="341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60</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20520.79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20520.79</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29</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7470.39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61</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30</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62</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31</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63</w:t>
            </w:r>
          </w:p>
        </w:tc>
        <w:tc>
          <w:tcPr>
            <w:tcW w:w="164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32</w:t>
            </w:r>
          </w:p>
        </w:tc>
        <w:tc>
          <w:tcPr>
            <w:tcW w:w="1705"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49531.48　</w:t>
            </w:r>
          </w:p>
        </w:tc>
        <w:tc>
          <w:tcPr>
            <w:tcW w:w="341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8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64</w:t>
            </w:r>
          </w:p>
        </w:tc>
        <w:tc>
          <w:tcPr>
            <w:tcW w:w="16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49531.48</w:t>
            </w:r>
          </w:p>
        </w:tc>
        <w:tc>
          <w:tcPr>
            <w:tcW w:w="159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38233.48</w:t>
            </w:r>
          </w:p>
        </w:tc>
        <w:tc>
          <w:tcPr>
            <w:tcW w:w="157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11298</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618"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湖南湘乡经济开发区管理委员会</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4665"/>
        <w:gridCol w:w="2906"/>
        <w:gridCol w:w="2737"/>
        <w:gridCol w:w="2711"/>
      </w:tblGrid>
      <w:tr>
        <w:tblPrEx>
          <w:tblCellMar>
            <w:top w:w="0" w:type="dxa"/>
            <w:left w:w="108" w:type="dxa"/>
            <w:bottom w:w="0" w:type="dxa"/>
            <w:right w:w="108" w:type="dxa"/>
          </w:tblCellMar>
        </w:tblPrEx>
        <w:trPr>
          <w:trHeight w:val="405" w:hRule="atLeast"/>
          <w:jc w:val="center"/>
        </w:trPr>
        <w:tc>
          <w:tcPr>
            <w:tcW w:w="5865"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8354"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66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90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73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711"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66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90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73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711"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665"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906"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737"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711"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586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90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73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711"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5865"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17712.68</w:t>
            </w:r>
            <w:r>
              <w:rPr>
                <w:rFonts w:ascii="Times New Roman" w:hAnsi="Times New Roman" w:eastAsia="仿宋_GB2312" w:cs="Times New Roman"/>
                <w:kern w:val="0"/>
                <w:szCs w:val="21"/>
              </w:rPr>
              <w:t>　</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2370.45</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15342.23</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 w:val="24"/>
                <w:szCs w:val="24"/>
              </w:rPr>
            </w:pPr>
            <w:r>
              <w:rPr>
                <w:rFonts w:hint="eastAsia"/>
              </w:rPr>
              <w:t>201　</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cs="宋体"/>
                <w:sz w:val="24"/>
                <w:szCs w:val="24"/>
              </w:rPr>
            </w:pPr>
            <w:r>
              <w:rPr>
                <w:rFonts w:hint="eastAsia"/>
              </w:rPr>
              <w:t>一般公共服务支出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2743.7</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1867.39</w:t>
            </w:r>
            <w:r>
              <w:rPr>
                <w:rFonts w:ascii="Times New Roman" w:hAnsi="Times New Roman" w:eastAsia="仿宋_GB2312" w:cs="Times New Roman"/>
                <w:kern w:val="0"/>
                <w:szCs w:val="21"/>
              </w:rPr>
              <w:t>　</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876.31</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cs="宋体"/>
                <w:sz w:val="24"/>
                <w:szCs w:val="24"/>
              </w:rPr>
            </w:pPr>
            <w:r>
              <w:rPr>
                <w:rFonts w:hint="eastAsia"/>
              </w:rPr>
              <w:t>20103</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cs="宋体"/>
                <w:sz w:val="24"/>
                <w:szCs w:val="24"/>
              </w:rPr>
            </w:pPr>
            <w:r>
              <w:rPr>
                <w:rFonts w:hint="eastAsia"/>
              </w:rPr>
              <w:t>政府办公厅（室）及相关机构事务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2396.17</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1867.39</w:t>
            </w:r>
            <w:r>
              <w:rPr>
                <w:rFonts w:ascii="Times New Roman" w:hAnsi="Times New Roman" w:eastAsia="仿宋_GB2312" w:cs="Times New Roman"/>
                <w:kern w:val="0"/>
                <w:szCs w:val="21"/>
              </w:rPr>
              <w:t>　</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528.78</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cs="宋体"/>
                <w:sz w:val="24"/>
                <w:szCs w:val="24"/>
              </w:rPr>
            </w:pPr>
            <w:r>
              <w:rPr>
                <w:rFonts w:hint="eastAsia"/>
              </w:rPr>
              <w:t>2010301</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cs="宋体"/>
                <w:sz w:val="24"/>
                <w:szCs w:val="24"/>
              </w:rPr>
            </w:pPr>
            <w:r>
              <w:rPr>
                <w:rFonts w:hint="eastAsia"/>
              </w:rPr>
              <w:t>　行政运行</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2396.17</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1867.39</w:t>
            </w:r>
            <w:r>
              <w:rPr>
                <w:rFonts w:ascii="Times New Roman" w:hAnsi="Times New Roman" w:eastAsia="仿宋_GB2312" w:cs="Times New Roman"/>
                <w:kern w:val="0"/>
                <w:szCs w:val="21"/>
              </w:rPr>
              <w:t>　</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528.78</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cs="宋体"/>
                <w:sz w:val="24"/>
                <w:szCs w:val="24"/>
              </w:rPr>
            </w:pPr>
            <w:r>
              <w:rPr>
                <w:rFonts w:hint="eastAsia"/>
              </w:rPr>
              <w:t>20113</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cs="宋体"/>
                <w:sz w:val="24"/>
                <w:szCs w:val="24"/>
              </w:rPr>
            </w:pPr>
            <w:r>
              <w:rPr>
                <w:rFonts w:hint="eastAsia"/>
              </w:rPr>
              <w:t>商贸事务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243.1</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2011308</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cs="宋体"/>
                <w:sz w:val="24"/>
                <w:szCs w:val="24"/>
              </w:rPr>
            </w:pPr>
            <w:r>
              <w:rPr>
                <w:rFonts w:hint="eastAsia"/>
              </w:rPr>
              <w:t>　招商引资</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243.1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20131</w:t>
            </w:r>
          </w:p>
        </w:tc>
        <w:tc>
          <w:tcPr>
            <w:tcW w:w="4665" w:type="dxa"/>
            <w:tcBorders>
              <w:top w:val="nil"/>
              <w:left w:val="nil"/>
              <w:bottom w:val="single" w:color="auto" w:sz="4" w:space="0"/>
              <w:right w:val="single" w:color="auto" w:sz="4" w:space="0"/>
            </w:tcBorders>
            <w:shd w:val="clear" w:color="auto" w:fill="auto"/>
            <w:vAlign w:val="center"/>
          </w:tcPr>
          <w:p>
            <w:r>
              <w:rPr>
                <w:rFonts w:hint="eastAsia"/>
              </w:rPr>
              <w:t>党委办公厅（室）及相关机构事务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76.25</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76.25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2013105</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专项业务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76.25</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76.25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20199</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其他一般公共服务支出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28.185</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28.18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2019999</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其他一般公共服务支出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28.185</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28.18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204</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公共安全支出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173.09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173.09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20402</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公安</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173.09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173.09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2040299</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其他公安支出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173.09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173.09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206</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科学技术支出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9597.29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9597.29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20604</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技术研究与开发</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9597.29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9597.29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2060499</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其他技术研究与开发支出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9597.29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9597.29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208</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社会保障和就业支出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1662.81</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160.49</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1502.32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20805</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行政事业单位养老支出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160.49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160.49</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2080505</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机关事业单位基本养老保险缴费支出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113.68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113.68</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2080506</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机关事业单位职业年金缴费支出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46.8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46.8</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20899</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其他社会保障和就业支出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1502.32</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1502.32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2089901</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其他社会保障和就业支出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1502.32</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1502.32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210</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卫生健康支出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75.78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75.78</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21011</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行政事业单位医疗</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75.78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75.78</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2101102</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事业单位医疗</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75.78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75.78</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211</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节能环保支出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938.57</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938.57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21102</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环境监测与监察</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38.13</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2110299</w:t>
            </w:r>
          </w:p>
        </w:tc>
        <w:tc>
          <w:tcPr>
            <w:tcW w:w="4665" w:type="dxa"/>
            <w:tcBorders>
              <w:top w:val="nil"/>
              <w:left w:val="nil"/>
              <w:bottom w:val="single" w:color="auto" w:sz="4" w:space="0"/>
              <w:right w:val="single" w:color="auto" w:sz="4" w:space="0"/>
            </w:tcBorders>
            <w:shd w:val="clear" w:color="auto" w:fill="auto"/>
            <w:vAlign w:val="center"/>
          </w:tcPr>
          <w:p>
            <w:pPr>
              <w:ind w:firstLine="210" w:firstLineChars="100"/>
              <w:rPr>
                <w:rFonts w:ascii="宋体" w:hAnsi="宋体" w:eastAsia="宋体" w:cs="宋体"/>
                <w:szCs w:val="21"/>
              </w:rPr>
            </w:pPr>
            <w:r>
              <w:rPr>
                <w:rFonts w:hint="eastAsia" w:ascii="宋体" w:hAnsi="宋体" w:eastAsia="宋体" w:cs="宋体"/>
                <w:szCs w:val="21"/>
              </w:rPr>
              <w:t>其他环境监测与监察支出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38.13</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38.13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jc w:val="left"/>
              <w:rPr>
                <w:rFonts w:ascii="宋体" w:hAnsi="宋体" w:eastAsia="宋体" w:cs="宋体"/>
                <w:szCs w:val="21"/>
              </w:rPr>
            </w:pPr>
            <w:r>
              <w:rPr>
                <w:rFonts w:hint="eastAsia" w:ascii="宋体" w:hAnsi="宋体" w:eastAsia="宋体" w:cs="宋体"/>
                <w:szCs w:val="21"/>
              </w:rPr>
              <w:t>21103</w:t>
            </w:r>
          </w:p>
        </w:tc>
        <w:tc>
          <w:tcPr>
            <w:tcW w:w="4665" w:type="dxa"/>
            <w:tcBorders>
              <w:top w:val="nil"/>
              <w:left w:val="nil"/>
              <w:bottom w:val="single" w:color="auto" w:sz="4" w:space="0"/>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污染防治</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900.44</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900.44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2110399</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其他污染防治支出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900.44</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900.44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城乡社区支出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439.48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439.48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城乡社区管理事务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12.69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12.69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2120104</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城管执法</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12.69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12.69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21202</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城乡社区规划与管理</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80.41</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80.41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2120201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城乡社区规划与管理</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80.41</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80.41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21203</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城乡社区公共设施</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2120399</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其他城乡社区公共设施支出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21205</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城乡社区环境卫生</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346.38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346.38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2120501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城乡社区环境卫生</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346.38</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346.38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213</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农林水支出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124</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100.29</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21301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农业农村</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124</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100.29</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2130104</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事业运行</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100.29</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100.29</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2130199</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其他农业农村支出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23.7</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23.7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215</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资源勘探工业信息等支出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1748.72</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1748.72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21508</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支持中小企业发展和管理支出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1748.72</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1748.72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2150899</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其他支持中小企业发展和管理支出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1748.72</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1748.72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221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住房保障支出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166.5</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166.5</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22102</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住房革支出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166.5</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166.5</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2210201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 xml:space="preserve">  住房公积金</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166.5</w:t>
            </w:r>
            <w:r>
              <w:rPr>
                <w:rFonts w:ascii="Times New Roman" w:hAnsi="Times New Roman" w:eastAsia="仿宋_GB2312" w:cs="Times New Roman"/>
                <w:kern w:val="0"/>
                <w:szCs w:val="21"/>
              </w:rPr>
              <w:t>　</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166.5</w:t>
            </w:r>
            <w:r>
              <w:rPr>
                <w:rFonts w:ascii="Times New Roman" w:hAnsi="Times New Roman" w:eastAsia="仿宋_GB2312" w:cs="Times New Roman"/>
                <w:kern w:val="0"/>
                <w:szCs w:val="21"/>
              </w:rPr>
              <w:t>　</w:t>
            </w: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224</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灾害防治及应急管理支出</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42.76</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42.76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rPr>
                <w:szCs w:val="21"/>
              </w:rPr>
            </w:pPr>
            <w:r>
              <w:rPr>
                <w:rFonts w:hint="eastAsia"/>
                <w:szCs w:val="21"/>
              </w:rPr>
              <w:t>22401</w:t>
            </w:r>
          </w:p>
        </w:tc>
        <w:tc>
          <w:tcPr>
            <w:tcW w:w="4665" w:type="dxa"/>
            <w:tcBorders>
              <w:top w:val="nil"/>
              <w:left w:val="nil"/>
              <w:bottom w:val="single" w:color="auto" w:sz="4" w:space="0"/>
              <w:right w:val="single" w:color="auto" w:sz="4" w:space="0"/>
            </w:tcBorders>
            <w:shd w:val="clear" w:color="auto" w:fill="auto"/>
            <w:vAlign w:val="center"/>
          </w:tcPr>
          <w:p>
            <w:pPr>
              <w:rPr>
                <w:szCs w:val="21"/>
              </w:rPr>
            </w:pPr>
            <w:r>
              <w:rPr>
                <w:rFonts w:hint="eastAsia"/>
                <w:szCs w:val="21"/>
              </w:rPr>
              <w:t>应急管理事务</w:t>
            </w:r>
          </w:p>
        </w:tc>
        <w:tc>
          <w:tcPr>
            <w:tcW w:w="2906"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42.76</w:t>
            </w:r>
          </w:p>
        </w:tc>
        <w:tc>
          <w:tcPr>
            <w:tcW w:w="2737"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11"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42.76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rPr>
                <w:szCs w:val="21"/>
              </w:rPr>
            </w:pPr>
            <w:r>
              <w:rPr>
                <w:rFonts w:hint="eastAsia"/>
                <w:szCs w:val="21"/>
              </w:rPr>
              <w:t>2240106</w:t>
            </w:r>
          </w:p>
        </w:tc>
        <w:tc>
          <w:tcPr>
            <w:tcW w:w="4665" w:type="dxa"/>
            <w:tcBorders>
              <w:top w:val="nil"/>
              <w:left w:val="nil"/>
              <w:bottom w:val="single" w:color="auto" w:sz="8" w:space="0"/>
              <w:right w:val="single" w:color="auto" w:sz="4" w:space="0"/>
            </w:tcBorders>
            <w:shd w:val="clear" w:color="auto" w:fill="auto"/>
            <w:vAlign w:val="center"/>
          </w:tcPr>
          <w:p>
            <w:pPr>
              <w:rPr>
                <w:szCs w:val="21"/>
              </w:rPr>
            </w:pPr>
            <w:r>
              <w:rPr>
                <w:rFonts w:hint="eastAsia"/>
                <w:szCs w:val="21"/>
              </w:rPr>
              <w:t xml:space="preserve">  安全监管</w:t>
            </w:r>
          </w:p>
        </w:tc>
        <w:tc>
          <w:tcPr>
            <w:tcW w:w="2906"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42.76</w:t>
            </w:r>
            <w:r>
              <w:rPr>
                <w:rFonts w:ascii="Times New Roman" w:hAnsi="Times New Roman" w:eastAsia="仿宋_GB2312" w:cs="Times New Roman"/>
                <w:kern w:val="0"/>
                <w:szCs w:val="21"/>
              </w:rPr>
              <w:t>　</w:t>
            </w:r>
          </w:p>
        </w:tc>
        <w:tc>
          <w:tcPr>
            <w:tcW w:w="2737"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711"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42.76</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16069" w:type="dxa"/>
        <w:tblInd w:w="-246" w:type="dxa"/>
        <w:tblLayout w:type="fixed"/>
        <w:tblCellMar>
          <w:top w:w="0" w:type="dxa"/>
          <w:left w:w="108" w:type="dxa"/>
          <w:bottom w:w="0" w:type="dxa"/>
          <w:right w:w="108" w:type="dxa"/>
        </w:tblCellMar>
      </w:tblPr>
      <w:tblGrid>
        <w:gridCol w:w="1069"/>
        <w:gridCol w:w="3319"/>
        <w:gridCol w:w="994"/>
        <w:gridCol w:w="1106"/>
        <w:gridCol w:w="2306"/>
        <w:gridCol w:w="956"/>
        <w:gridCol w:w="1163"/>
        <w:gridCol w:w="4219"/>
        <w:gridCol w:w="937"/>
      </w:tblGrid>
      <w:tr>
        <w:tblPrEx>
          <w:tblCellMar>
            <w:top w:w="0" w:type="dxa"/>
            <w:left w:w="108" w:type="dxa"/>
            <w:bottom w:w="0" w:type="dxa"/>
            <w:right w:w="108" w:type="dxa"/>
          </w:tblCellMar>
        </w:tblPrEx>
        <w:trPr>
          <w:trHeight w:val="113" w:hRule="atLeast"/>
        </w:trPr>
        <w:tc>
          <w:tcPr>
            <w:tcW w:w="16069"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21"/>
              </w:rPr>
            </w:pPr>
            <w:bookmarkStart w:id="2" w:name="RANGE!A1:I34"/>
            <w:r>
              <w:rPr>
                <w:rFonts w:hint="eastAsia" w:ascii="华文中宋" w:hAnsi="华文中宋" w:eastAsia="华文中宋" w:cs="宋体"/>
                <w:color w:val="000000"/>
                <w:kern w:val="0"/>
                <w:szCs w:val="21"/>
              </w:rPr>
              <w:t>一般公共预算财政拨款基本支出决算表</w:t>
            </w:r>
            <w:bookmarkEnd w:id="2"/>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湖南湘乡经济开发区管理委员会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6"/>
                <w:szCs w:val="16"/>
              </w:rPr>
            </w:pPr>
            <w:r>
              <w:rPr>
                <w:rFonts w:hint="eastAsia" w:ascii="宋体" w:hAnsi="宋体" w:eastAsia="宋体" w:cs="宋体"/>
                <w:color w:val="000000"/>
                <w:kern w:val="0"/>
                <w:szCs w:val="20"/>
              </w:rPr>
              <w:t>科目名称</w:t>
            </w:r>
          </w:p>
        </w:tc>
        <w:tc>
          <w:tcPr>
            <w:tcW w:w="99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0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2066.17</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290.84</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409.04</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60.20</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70.77</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35.01</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10.79</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0.15</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8.96</w:t>
            </w: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74.86</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0.71</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172.8</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113.68</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8.96</w:t>
            </w: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46.80</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2.98</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75.78</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7.62</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6.65</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166.5</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917.53</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3.44</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4.48</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1.23</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0.35</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16.26</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51.43</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55"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4.39</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14.28</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3.67</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78.6</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0.1</w:t>
            </w: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106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c>
          <w:tcPr>
            <w:tcW w:w="11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0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14.38</w:t>
            </w:r>
          </w:p>
        </w:tc>
        <w:tc>
          <w:tcPr>
            <w:tcW w:w="11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p>
        </w:tc>
      </w:tr>
      <w:tr>
        <w:tblPrEx>
          <w:tblCellMar>
            <w:top w:w="0" w:type="dxa"/>
            <w:left w:w="108" w:type="dxa"/>
            <w:bottom w:w="0" w:type="dxa"/>
            <w:right w:w="108" w:type="dxa"/>
          </w:tblCellMar>
        </w:tblPrEx>
        <w:trPr>
          <w:trHeight w:val="284" w:hRule="exact"/>
        </w:trPr>
        <w:tc>
          <w:tcPr>
            <w:tcW w:w="438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2070.65</w:t>
            </w:r>
          </w:p>
        </w:tc>
        <w:tc>
          <w:tcPr>
            <w:tcW w:w="975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299.8</w:t>
            </w:r>
          </w:p>
        </w:tc>
      </w:tr>
      <w:tr>
        <w:tblPrEx>
          <w:tblCellMar>
            <w:top w:w="0" w:type="dxa"/>
            <w:left w:w="108" w:type="dxa"/>
            <w:bottom w:w="0" w:type="dxa"/>
            <w:right w:w="108" w:type="dxa"/>
          </w:tblCellMar>
        </w:tblPrEx>
        <w:trPr>
          <w:trHeight w:val="364" w:hRule="exact"/>
        </w:trPr>
        <w:tc>
          <w:tcPr>
            <w:tcW w:w="16069"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湖南湘乡经济开发区管理委员会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75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66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53.75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4.67</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4.67</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49.08</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ind w:firstLine="525" w:firstLineChars="25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湖南湘乡经济开发区管理委员会</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公开08表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4254"/>
        <w:gridCol w:w="1350"/>
        <w:gridCol w:w="1575"/>
        <w:gridCol w:w="1593"/>
        <w:gridCol w:w="1538"/>
        <w:gridCol w:w="1556"/>
        <w:gridCol w:w="145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54" w:hRule="atLeast"/>
          <w:jc w:val="center"/>
        </w:trPr>
        <w:tc>
          <w:tcPr>
            <w:tcW w:w="5374"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135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57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4687"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1454"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254"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350" w:type="dxa"/>
            <w:vMerge w:val="continue"/>
            <w:vAlign w:val="center"/>
          </w:tcPr>
          <w:p>
            <w:pPr>
              <w:widowControl/>
              <w:jc w:val="left"/>
              <w:rPr>
                <w:rFonts w:ascii="Times New Roman" w:hAnsi="Times New Roman" w:eastAsia="仿宋_GB2312" w:cs="Times New Roman"/>
                <w:b/>
                <w:kern w:val="0"/>
                <w:szCs w:val="21"/>
              </w:rPr>
            </w:pPr>
          </w:p>
        </w:tc>
        <w:tc>
          <w:tcPr>
            <w:tcW w:w="1575" w:type="dxa"/>
            <w:vMerge w:val="continue"/>
            <w:vAlign w:val="center"/>
          </w:tcPr>
          <w:p>
            <w:pPr>
              <w:widowControl/>
              <w:jc w:val="left"/>
              <w:rPr>
                <w:rFonts w:ascii="Times New Roman" w:hAnsi="Times New Roman" w:eastAsia="仿宋_GB2312" w:cs="Times New Roman"/>
                <w:b/>
                <w:kern w:val="0"/>
                <w:szCs w:val="21"/>
              </w:rPr>
            </w:pPr>
          </w:p>
        </w:tc>
        <w:tc>
          <w:tcPr>
            <w:tcW w:w="1593"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538"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155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1454"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4254" w:type="dxa"/>
            <w:vMerge w:val="continue"/>
            <w:vAlign w:val="center"/>
          </w:tcPr>
          <w:p>
            <w:pPr>
              <w:widowControl/>
              <w:jc w:val="left"/>
              <w:rPr>
                <w:rFonts w:ascii="Times New Roman" w:hAnsi="Times New Roman" w:eastAsia="仿宋_GB2312" w:cs="Times New Roman"/>
                <w:kern w:val="0"/>
                <w:szCs w:val="21"/>
              </w:rPr>
            </w:pPr>
          </w:p>
        </w:tc>
        <w:tc>
          <w:tcPr>
            <w:tcW w:w="1350" w:type="dxa"/>
            <w:vMerge w:val="continue"/>
            <w:vAlign w:val="center"/>
          </w:tcPr>
          <w:p>
            <w:pPr>
              <w:widowControl/>
              <w:jc w:val="left"/>
              <w:rPr>
                <w:rFonts w:ascii="Times New Roman" w:hAnsi="Times New Roman" w:eastAsia="仿宋_GB2312" w:cs="Times New Roman"/>
                <w:kern w:val="0"/>
                <w:szCs w:val="21"/>
              </w:rPr>
            </w:pPr>
          </w:p>
        </w:tc>
        <w:tc>
          <w:tcPr>
            <w:tcW w:w="1575" w:type="dxa"/>
            <w:vMerge w:val="continue"/>
            <w:vAlign w:val="center"/>
          </w:tcPr>
          <w:p>
            <w:pPr>
              <w:widowControl/>
              <w:jc w:val="left"/>
              <w:rPr>
                <w:rFonts w:ascii="Times New Roman" w:hAnsi="Times New Roman" w:eastAsia="仿宋_GB2312" w:cs="Times New Roman"/>
                <w:kern w:val="0"/>
                <w:szCs w:val="21"/>
              </w:rPr>
            </w:pPr>
          </w:p>
        </w:tc>
        <w:tc>
          <w:tcPr>
            <w:tcW w:w="1593" w:type="dxa"/>
            <w:vMerge w:val="continue"/>
            <w:vAlign w:val="center"/>
          </w:tcPr>
          <w:p>
            <w:pPr>
              <w:widowControl/>
              <w:jc w:val="left"/>
              <w:rPr>
                <w:rFonts w:ascii="Times New Roman" w:hAnsi="Times New Roman" w:eastAsia="仿宋_GB2312" w:cs="Times New Roman"/>
                <w:kern w:val="0"/>
                <w:szCs w:val="21"/>
              </w:rPr>
            </w:pPr>
          </w:p>
        </w:tc>
        <w:tc>
          <w:tcPr>
            <w:tcW w:w="1538" w:type="dxa"/>
            <w:vMerge w:val="continue"/>
            <w:vAlign w:val="center"/>
          </w:tcPr>
          <w:p>
            <w:pPr>
              <w:widowControl/>
              <w:jc w:val="left"/>
              <w:rPr>
                <w:rFonts w:ascii="Times New Roman" w:hAnsi="Times New Roman" w:eastAsia="仿宋_GB2312" w:cs="Times New Roman"/>
                <w:kern w:val="0"/>
                <w:szCs w:val="21"/>
              </w:rPr>
            </w:pPr>
          </w:p>
        </w:tc>
        <w:tc>
          <w:tcPr>
            <w:tcW w:w="1556" w:type="dxa"/>
            <w:vMerge w:val="continue"/>
            <w:vAlign w:val="center"/>
          </w:tcPr>
          <w:p>
            <w:pPr>
              <w:widowControl/>
              <w:jc w:val="left"/>
              <w:rPr>
                <w:rFonts w:ascii="Times New Roman" w:hAnsi="Times New Roman" w:eastAsia="仿宋_GB2312" w:cs="Times New Roman"/>
                <w:kern w:val="0"/>
                <w:szCs w:val="21"/>
              </w:rPr>
            </w:pPr>
          </w:p>
        </w:tc>
        <w:tc>
          <w:tcPr>
            <w:tcW w:w="1454"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4254" w:type="dxa"/>
            <w:vMerge w:val="continue"/>
            <w:vAlign w:val="center"/>
          </w:tcPr>
          <w:p>
            <w:pPr>
              <w:widowControl/>
              <w:jc w:val="left"/>
              <w:rPr>
                <w:rFonts w:ascii="Times New Roman" w:hAnsi="Times New Roman" w:eastAsia="仿宋_GB2312" w:cs="Times New Roman"/>
                <w:kern w:val="0"/>
                <w:szCs w:val="21"/>
              </w:rPr>
            </w:pPr>
          </w:p>
        </w:tc>
        <w:tc>
          <w:tcPr>
            <w:tcW w:w="1350" w:type="dxa"/>
            <w:vMerge w:val="continue"/>
            <w:vAlign w:val="center"/>
          </w:tcPr>
          <w:p>
            <w:pPr>
              <w:widowControl/>
              <w:jc w:val="left"/>
              <w:rPr>
                <w:rFonts w:ascii="Times New Roman" w:hAnsi="Times New Roman" w:eastAsia="仿宋_GB2312" w:cs="Times New Roman"/>
                <w:kern w:val="0"/>
                <w:szCs w:val="21"/>
              </w:rPr>
            </w:pPr>
          </w:p>
        </w:tc>
        <w:tc>
          <w:tcPr>
            <w:tcW w:w="1575" w:type="dxa"/>
            <w:vMerge w:val="continue"/>
            <w:vAlign w:val="center"/>
          </w:tcPr>
          <w:p>
            <w:pPr>
              <w:widowControl/>
              <w:jc w:val="left"/>
              <w:rPr>
                <w:rFonts w:ascii="Times New Roman" w:hAnsi="Times New Roman" w:eastAsia="仿宋_GB2312" w:cs="Times New Roman"/>
                <w:kern w:val="0"/>
                <w:szCs w:val="21"/>
              </w:rPr>
            </w:pPr>
          </w:p>
        </w:tc>
        <w:tc>
          <w:tcPr>
            <w:tcW w:w="1593" w:type="dxa"/>
            <w:vMerge w:val="continue"/>
            <w:vAlign w:val="center"/>
          </w:tcPr>
          <w:p>
            <w:pPr>
              <w:widowControl/>
              <w:jc w:val="left"/>
              <w:rPr>
                <w:rFonts w:ascii="Times New Roman" w:hAnsi="Times New Roman" w:eastAsia="仿宋_GB2312" w:cs="Times New Roman"/>
                <w:kern w:val="0"/>
                <w:szCs w:val="21"/>
              </w:rPr>
            </w:pPr>
          </w:p>
        </w:tc>
        <w:tc>
          <w:tcPr>
            <w:tcW w:w="1538" w:type="dxa"/>
            <w:vMerge w:val="continue"/>
            <w:vAlign w:val="center"/>
          </w:tcPr>
          <w:p>
            <w:pPr>
              <w:widowControl/>
              <w:jc w:val="left"/>
              <w:rPr>
                <w:rFonts w:ascii="Times New Roman" w:hAnsi="Times New Roman" w:eastAsia="仿宋_GB2312" w:cs="Times New Roman"/>
                <w:kern w:val="0"/>
                <w:szCs w:val="21"/>
              </w:rPr>
            </w:pPr>
          </w:p>
        </w:tc>
        <w:tc>
          <w:tcPr>
            <w:tcW w:w="1556" w:type="dxa"/>
            <w:vMerge w:val="continue"/>
            <w:vAlign w:val="center"/>
          </w:tcPr>
          <w:p>
            <w:pPr>
              <w:widowControl/>
              <w:jc w:val="left"/>
              <w:rPr>
                <w:rFonts w:ascii="Times New Roman" w:hAnsi="Times New Roman" w:eastAsia="仿宋_GB2312" w:cs="Times New Roman"/>
                <w:kern w:val="0"/>
                <w:szCs w:val="21"/>
              </w:rPr>
            </w:pPr>
          </w:p>
        </w:tc>
        <w:tc>
          <w:tcPr>
            <w:tcW w:w="1454"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374"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35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593"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538"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55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45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5374"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35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593"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45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212</w:t>
            </w:r>
          </w:p>
        </w:tc>
        <w:tc>
          <w:tcPr>
            <w:tcW w:w="42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城乡社区支出</w:t>
            </w:r>
          </w:p>
        </w:tc>
        <w:tc>
          <w:tcPr>
            <w:tcW w:w="135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5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4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21208</w:t>
            </w:r>
            <w:r>
              <w:rPr>
                <w:rFonts w:ascii="Times New Roman" w:hAnsi="Times New Roman" w:eastAsia="仿宋_GB2312" w:cs="Times New Roman"/>
                <w:kern w:val="0"/>
                <w:szCs w:val="21"/>
              </w:rPr>
              <w:t>　</w:t>
            </w:r>
          </w:p>
        </w:tc>
        <w:tc>
          <w:tcPr>
            <w:tcW w:w="42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国有土地使用权出让收入安排的支出</w:t>
            </w:r>
          </w:p>
        </w:tc>
        <w:tc>
          <w:tcPr>
            <w:tcW w:w="135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5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4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6" w:hRule="atLeast"/>
          <w:jc w:val="center"/>
        </w:trPr>
        <w:tc>
          <w:tcPr>
            <w:tcW w:w="1120" w:type="dxa"/>
            <w:shd w:val="clear" w:color="auto" w:fill="auto"/>
            <w:vAlign w:val="center"/>
          </w:tcPr>
          <w:p>
            <w:pPr>
              <w:widowControl/>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2120899</w:t>
            </w:r>
          </w:p>
        </w:tc>
        <w:tc>
          <w:tcPr>
            <w:tcW w:w="42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其他国有土地使用权出让收入安排的支出</w:t>
            </w:r>
          </w:p>
        </w:tc>
        <w:tc>
          <w:tcPr>
            <w:tcW w:w="135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5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11298</w:t>
            </w:r>
          </w:p>
        </w:tc>
        <w:tc>
          <w:tcPr>
            <w:tcW w:w="14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2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5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2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5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42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5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93"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38"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5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54"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620"/>
        <w:gridCol w:w="1089"/>
        <w:gridCol w:w="1326"/>
        <w:gridCol w:w="240"/>
        <w:gridCol w:w="560"/>
        <w:gridCol w:w="665"/>
        <w:gridCol w:w="1886"/>
        <w:gridCol w:w="734"/>
        <w:gridCol w:w="2243"/>
        <w:gridCol w:w="3267"/>
        <w:gridCol w:w="560"/>
      </w:tblGrid>
      <w:tr>
        <w:tblPrEx>
          <w:tblCellMar>
            <w:top w:w="0" w:type="dxa"/>
            <w:left w:w="108" w:type="dxa"/>
            <w:bottom w:w="0" w:type="dxa"/>
            <w:right w:w="108" w:type="dxa"/>
          </w:tblCellMar>
        </w:tblPrEx>
        <w:trPr>
          <w:trHeight w:val="720" w:hRule="atLeast"/>
        </w:trPr>
        <w:tc>
          <w:tcPr>
            <w:tcW w:w="14190" w:type="dxa"/>
            <w:gridSpan w:val="11"/>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6"/>
                <w:szCs w:val="36"/>
              </w:rPr>
              <w:t>国有资本经营预算财政拨款支出决算表</w:t>
            </w:r>
          </w:p>
        </w:tc>
      </w:tr>
      <w:tr>
        <w:tblPrEx>
          <w:tblCellMar>
            <w:top w:w="0" w:type="dxa"/>
            <w:left w:w="108" w:type="dxa"/>
            <w:bottom w:w="0" w:type="dxa"/>
            <w:right w:w="108" w:type="dxa"/>
          </w:tblCellMar>
        </w:tblPrEx>
        <w:trPr>
          <w:gridAfter w:val="1"/>
          <w:wAfter w:w="560" w:type="dxa"/>
          <w:trHeight w:val="285" w:hRule="atLeast"/>
        </w:trPr>
        <w:tc>
          <w:tcPr>
            <w:tcW w:w="4035" w:type="dxa"/>
            <w:gridSpan w:val="3"/>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24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gridAfter w:val="1"/>
          <w:wAfter w:w="560" w:type="dxa"/>
          <w:trHeight w:val="285" w:hRule="atLeast"/>
        </w:trPr>
        <w:tc>
          <w:tcPr>
            <w:tcW w:w="4035"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部门：湖南湘乡经济开发区管理委员会</w:t>
            </w:r>
          </w:p>
        </w:tc>
        <w:tc>
          <w:tcPr>
            <w:tcW w:w="24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wordWrap w:val="0"/>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单位：万元</w:t>
            </w:r>
          </w:p>
        </w:tc>
      </w:tr>
      <w:tr>
        <w:tblPrEx>
          <w:tblCellMar>
            <w:top w:w="0" w:type="dxa"/>
            <w:left w:w="108" w:type="dxa"/>
            <w:bottom w:w="0" w:type="dxa"/>
            <w:right w:w="108" w:type="dxa"/>
          </w:tblCellMar>
        </w:tblPrEx>
        <w:trPr>
          <w:trHeight w:val="402" w:hRule="atLeast"/>
        </w:trPr>
        <w:tc>
          <w:tcPr>
            <w:tcW w:w="4835" w:type="dxa"/>
            <w:gridSpan w:val="5"/>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6"/>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gridSpan w:val="3"/>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5"/>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5"/>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4"/>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r>
              <w:rPr>
                <w:rFonts w:hint="eastAsia"/>
                <w:sz w:val="22"/>
              </w:rPr>
              <w:t>没有该事项发生</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4"/>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4"/>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4"/>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4"/>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4"/>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11"/>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2020年度收、支总计54722.89元。与上年相比，增加15392.39万元，增长28%，主要是因为招商项目增加，项目支出增加。</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本年收入合计47123.26万元，其中：财政拨款收入42061.08万元，占89%；上级补助收入5062.17万元，占11%。</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本年支出合计31654.69万元，其中：基本支出2370.45万元，占7%；项目支出29284.23万元，占93%。</w:t>
      </w:r>
    </w:p>
    <w:p>
      <w:pPr>
        <w:pStyle w:val="9"/>
        <w:rPr>
          <w:rFonts w:hAnsi="黑体"/>
          <w:b/>
          <w:sz w:val="32"/>
          <w:szCs w:val="32"/>
        </w:rPr>
      </w:pPr>
      <w:r>
        <w:rPr>
          <w:rFonts w:hint="eastAsia" w:hAnsi="黑体"/>
          <w:b/>
          <w:sz w:val="32"/>
          <w:szCs w:val="32"/>
        </w:rPr>
        <w:t>四、财政拨款收入支出决算总体情况说明</w:t>
      </w:r>
    </w:p>
    <w:p>
      <w:pPr>
        <w:pStyle w:val="9"/>
        <w:ind w:firstLine="64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2020年度财政拨款收、支总计49531.48万元，与上年相比，增加22251.97万元,增长45%，主要是因为招商项目增加，项目支出增加。</w:t>
      </w:r>
    </w:p>
    <w:p>
      <w:pPr>
        <w:pStyle w:val="9"/>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2020年度财政拨款支出29010.68万元，占本年支出合计的92%，与上年相比，财政拨款支出增加9201.56万元，增长32%，主要是因为招商项目增加，项目支出增加。</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29010.68万元，主要用于以下方面：一般公共服务（类）支出2743.7万元，占9.46%；公共安全（类）支出173.09万元，占0.6%；科学技术（类）支出9597.29万元，占33.08%；社会保障和就业（类）支出1662.81万元，占5.73%；卫生健康（类）支出75.78万元，占0.26；节能环保（类）支出938.57万元，占3.24%；城乡社区（类）支出11737.47万元，占40.46%；农林水（类）支出123.99万元，占0.43%；资源勘探工业信息等（类）支出1748.72万元，占6.03%；住房保障（类）支出166.5万元，占0.57%；灾害防治及应急管理（类）支出42.76万元，占0.15%。</w:t>
      </w:r>
    </w:p>
    <w:p>
      <w:pPr>
        <w:pStyle w:val="9"/>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2370.45万元，其中：人员经费2070.65万元，占基本支出的87.35%,主要包括基本工资、津贴补贴、奖金、伙食补助费等；公用经费299.8万元，占基本支出的12.65%，主要包括办公费、印刷费、咨询费、手续费等。</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“三公”经费财政拨款支出预算为75万元，支出决算为53.75万元，完成预算的72%，其中：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公务接待费支出预算为66万元，支出决算为49.08万元，完成预算的74.36%，决算数小于预算数的主要原因是受疫情影响。</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公务用车购置费及运行维护费支出预算为9万元，支出决算为4.67万元，完成预算的51.89%，决算数小于预算数的主要原因是受疫情影响。</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2020年度“三公”经费财政拨款支出决算中，公务接待费支出决算49.08万元，占91.31%,因公出国（境）费支出决算0万元,公务用车购置费及运行维护费支出决算4.67万元，占8.69%。其中：</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2、公务接待费支出决算为49.08万元，全年共接待来访团组1227个、来宾12270人次，主要是项目引进及招商发生的接待支出。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3、公务用车购置费及运行维护费支出决算为4.67万元，其中：公务用车购置费0万元，公务用车运行维护费4.67万元，主要是公车运行支出，截止2020年12月31日，我单位开支财政拨款的公务用车保有量为3辆。</w:t>
      </w:r>
    </w:p>
    <w:p>
      <w:pPr>
        <w:pStyle w:val="9"/>
        <w:rPr>
          <w:rFonts w:hAnsi="黑体"/>
          <w:b/>
          <w:sz w:val="32"/>
          <w:szCs w:val="32"/>
        </w:rPr>
      </w:pPr>
      <w:r>
        <w:rPr>
          <w:rFonts w:hint="eastAsia" w:hAnsi="黑体"/>
          <w:b/>
          <w:sz w:val="32"/>
          <w:szCs w:val="32"/>
        </w:rPr>
        <w:t>八、政府性基金预算收入支出决算情况</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2020年度政府性基金预算财政拨款收入11298万元；年初结转和结余0万元；支出11298万元，其中基本支出0万元，项目支出11298万元；年末结转和结余0万元。</w:t>
      </w:r>
    </w:p>
    <w:p>
      <w:pPr>
        <w:pStyle w:val="9"/>
        <w:rPr>
          <w:rFonts w:hAnsi="黑体"/>
          <w:b/>
          <w:sz w:val="32"/>
          <w:szCs w:val="32"/>
        </w:rPr>
      </w:pPr>
      <w:r>
        <w:rPr>
          <w:rFonts w:hint="eastAsia" w:hAnsi="黑体"/>
          <w:b/>
          <w:sz w:val="32"/>
          <w:szCs w:val="32"/>
        </w:rPr>
        <w:t>九、关于机关运行经费支出说明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本部门2020年度机关运行经费支出2370.45万元。</w:t>
      </w:r>
    </w:p>
    <w:p>
      <w:pPr>
        <w:pStyle w:val="9"/>
        <w:rPr>
          <w:rFonts w:hAnsi="黑体"/>
          <w:b/>
          <w:sz w:val="32"/>
          <w:szCs w:val="32"/>
        </w:rPr>
      </w:pPr>
      <w:r>
        <w:rPr>
          <w:rFonts w:hint="eastAsia" w:hAnsi="黑体"/>
          <w:b/>
          <w:sz w:val="32"/>
          <w:szCs w:val="32"/>
        </w:rPr>
        <w:t>十、一般性支出情况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2020年本部门开支会议费1.23万元，开支培训费0.35万元。</w:t>
      </w:r>
    </w:p>
    <w:p>
      <w:pPr>
        <w:pStyle w:val="9"/>
        <w:rPr>
          <w:rFonts w:hAnsi="黑体"/>
          <w:b/>
          <w:sz w:val="32"/>
          <w:szCs w:val="32"/>
        </w:rPr>
      </w:pPr>
      <w:r>
        <w:rPr>
          <w:rFonts w:hint="eastAsia" w:hAnsi="黑体"/>
          <w:b/>
          <w:sz w:val="32"/>
          <w:szCs w:val="32"/>
        </w:rPr>
        <w:t>十一、关于政府采购支出说明</w:t>
      </w:r>
    </w:p>
    <w:p>
      <w:pPr>
        <w:pStyle w:val="9"/>
        <w:ind w:firstLine="640" w:firstLineChars="200"/>
        <w:rPr>
          <w:rFonts w:asciiTheme="minorEastAsia" w:hAnsiTheme="minorEastAsia" w:eastAsiaTheme="minorEastAsia"/>
          <w:color w:val="000000" w:themeColor="text1"/>
          <w:sz w:val="32"/>
          <w:szCs w:val="32"/>
        </w:rPr>
      </w:pPr>
      <w:r>
        <w:rPr>
          <w:rFonts w:hint="eastAsia" w:asciiTheme="minorEastAsia" w:hAnsiTheme="minorEastAsia" w:eastAsiaTheme="minorEastAsia"/>
          <w:color w:val="000000" w:themeColor="text1"/>
          <w:sz w:val="32"/>
          <w:szCs w:val="32"/>
        </w:rPr>
        <w:t>本部门2020年度政府采购支出总额13.37万元。</w:t>
      </w:r>
    </w:p>
    <w:p>
      <w:pPr>
        <w:pStyle w:val="9"/>
        <w:rPr>
          <w:rFonts w:hAnsi="黑体"/>
          <w:b/>
          <w:sz w:val="32"/>
          <w:szCs w:val="32"/>
        </w:rPr>
      </w:pPr>
      <w:r>
        <w:rPr>
          <w:rFonts w:hint="eastAsia" w:hAnsi="黑体"/>
          <w:b/>
          <w:sz w:val="32"/>
          <w:szCs w:val="32"/>
        </w:rPr>
        <w:t>十二、关于国有资产占用情况说明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截至2020年12月31日，本单位共有车辆3辆，其中，主要领导干部用车1辆、执法执勤用车2辆。</w:t>
      </w:r>
    </w:p>
    <w:p>
      <w:pPr>
        <w:pStyle w:val="9"/>
        <w:rPr>
          <w:rFonts w:hAnsi="黑体"/>
          <w:b/>
          <w:sz w:val="32"/>
          <w:szCs w:val="32"/>
        </w:rPr>
      </w:pPr>
      <w:r>
        <w:rPr>
          <w:rFonts w:hint="eastAsia" w:hAnsi="黑体"/>
          <w:b/>
          <w:sz w:val="32"/>
          <w:szCs w:val="32"/>
        </w:rPr>
        <w:t>十三、关于2020年度预算绩效情况的说明</w:t>
      </w:r>
    </w:p>
    <w:p>
      <w:pPr>
        <w:pStyle w:val="9"/>
        <w:rPr>
          <w:rFonts w:ascii="宋体" w:hAnsi="宋体" w:eastAsia="宋体" w:cs="宋体"/>
          <w:bCs/>
          <w:sz w:val="32"/>
          <w:szCs w:val="32"/>
        </w:rPr>
      </w:pPr>
      <w:r>
        <w:rPr>
          <w:rFonts w:hint="eastAsia" w:ascii="宋体" w:hAnsi="宋体" w:eastAsia="宋体" w:cs="宋体"/>
          <w:bCs/>
          <w:sz w:val="32"/>
          <w:szCs w:val="32"/>
        </w:rPr>
        <w:t xml:space="preserve">    一、保障我委机构正常运转、完成日常工作任务而发生的各项支出；二、认真贯彻落实中央、省委、市委各项决策部署，以各项举措的落实提升党的执政水平和政府服务能力、推动地方经济发展；三、结合园区实际，研究制定本区计划，抓好各项事项统筹协调、督促检查和评估考核，逐步建立全过程、高效率、可核实的工作落实机制；四、严格按照工作计划，完成年内项目组织管理任务，做好各类项目执行的全过程监督管理工作，确保项目按计划有效实施。</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ascii="宋体" w:hAnsi="宋体" w:eastAsia="宋体" w:cs="黑体"/>
          <w:color w:val="000000"/>
          <w:kern w:val="0"/>
          <w:sz w:val="32"/>
          <w:szCs w:val="32"/>
        </w:rPr>
      </w:pPr>
      <w:r>
        <w:rPr>
          <w:rFonts w:hint="eastAsia" w:cs="黑体" w:asciiTheme="minorEastAsia" w:hAnsiTheme="minorEastAsia"/>
          <w:color w:val="000000"/>
          <w:kern w:val="0"/>
          <w:sz w:val="32"/>
          <w:szCs w:val="32"/>
        </w:rPr>
        <w:t>一、</w:t>
      </w:r>
      <w:r>
        <w:rPr>
          <w:rFonts w:hint="eastAsia" w:ascii="宋体" w:hAnsi="宋体" w:eastAsia="宋体" w:cs="宋体"/>
          <w:kern w:val="0"/>
          <w:sz w:val="28"/>
          <w:szCs w:val="28"/>
        </w:rPr>
        <w:t>财政拨款收入：指同级财政当年拨付的资金。</w:t>
      </w:r>
    </w:p>
    <w:p>
      <w:pPr>
        <w:ind w:firstLine="640" w:firstLineChars="200"/>
        <w:jc w:val="left"/>
        <w:rPr>
          <w:rFonts w:ascii="宋体" w:hAnsi="宋体" w:eastAsia="宋体" w:cs="黑体"/>
          <w:color w:val="000000"/>
          <w:kern w:val="0"/>
          <w:sz w:val="32"/>
          <w:szCs w:val="32"/>
        </w:rPr>
      </w:pPr>
      <w:r>
        <w:rPr>
          <w:rFonts w:hint="eastAsia" w:cs="黑体" w:asciiTheme="minorEastAsia" w:hAnsiTheme="minorEastAsia"/>
          <w:color w:val="000000"/>
          <w:kern w:val="0"/>
          <w:sz w:val="32"/>
          <w:szCs w:val="32"/>
        </w:rPr>
        <w:t>二、</w:t>
      </w:r>
      <w:r>
        <w:rPr>
          <w:rFonts w:hint="eastAsia" w:ascii="宋体" w:hAnsi="宋体" w:eastAsia="宋体" w:cs="宋体"/>
          <w:kern w:val="0"/>
          <w:sz w:val="28"/>
          <w:szCs w:val="28"/>
        </w:rPr>
        <w:t>基本支出：指为保障机构正常运转、完成日常工作任务而发生的人员支出和公用支出</w:t>
      </w:r>
    </w:p>
    <w:p>
      <w:pPr>
        <w:ind w:firstLine="640" w:firstLineChars="200"/>
        <w:jc w:val="left"/>
        <w:rPr>
          <w:rFonts w:ascii="宋体" w:hAnsi="宋体" w:eastAsia="宋体" w:cs="宋体"/>
          <w:kern w:val="0"/>
          <w:sz w:val="28"/>
          <w:szCs w:val="28"/>
        </w:rPr>
      </w:pPr>
      <w:r>
        <w:rPr>
          <w:rFonts w:hint="eastAsia" w:cs="黑体" w:asciiTheme="minorEastAsia" w:hAnsiTheme="minorEastAsia"/>
          <w:color w:val="000000"/>
          <w:kern w:val="0"/>
          <w:sz w:val="32"/>
          <w:szCs w:val="32"/>
        </w:rPr>
        <w:t>三、</w:t>
      </w:r>
      <w:r>
        <w:rPr>
          <w:rFonts w:hint="eastAsia" w:ascii="宋体" w:hAnsi="宋体" w:eastAsia="宋体" w:cs="宋体"/>
          <w:kern w:val="0"/>
          <w:sz w:val="28"/>
          <w:szCs w:val="28"/>
        </w:rPr>
        <w:t>项目支出：指在基本支出之外为完成特定行政任务和事业发展目标所发生的支出。</w:t>
      </w: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四、</w:t>
      </w:r>
      <w:r>
        <w:rPr>
          <w:rFonts w:hint="eastAsia" w:ascii="宋体" w:hAnsi="宋体" w:eastAsia="宋体" w:cs="宋体"/>
          <w:sz w:val="28"/>
          <w:szCs w:val="28"/>
        </w:rPr>
        <w:t>“三公”经费：纳入同级财政预决算管理的“三公”经费是指用一般公共预算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2020年度部门整体支出绩效评价报告</w:t>
      </w:r>
    </w:p>
    <w:p>
      <w:pPr>
        <w:spacing w:line="600" w:lineRule="exact"/>
        <w:ind w:right="641" w:firstLine="600" w:firstLineChars="200"/>
        <w:rPr>
          <w:rFonts w:ascii="仿宋" w:hAnsi="仿宋" w:eastAsia="黑体" w:cs="仿宋"/>
          <w:sz w:val="30"/>
          <w:szCs w:val="30"/>
        </w:rPr>
      </w:pPr>
      <w:r>
        <w:rPr>
          <w:rFonts w:hint="eastAsia" w:ascii="仿宋" w:hAnsi="仿宋" w:eastAsia="黑体" w:cs="黑体"/>
          <w:sz w:val="30"/>
          <w:szCs w:val="30"/>
        </w:rPr>
        <w:t>一、部门概况</w:t>
      </w:r>
    </w:p>
    <w:p>
      <w:pPr>
        <w:spacing w:line="580" w:lineRule="exact"/>
        <w:ind w:firstLine="800" w:firstLineChars="250"/>
        <w:rPr>
          <w:rFonts w:ascii="仿宋" w:hAnsi="仿宋" w:eastAsia="仿宋" w:cs="仿宋"/>
          <w:szCs w:val="32"/>
        </w:rPr>
      </w:pPr>
      <w:r>
        <w:rPr>
          <w:rFonts w:hint="eastAsia" w:ascii="仿宋" w:hAnsi="仿宋" w:eastAsia="仿宋" w:cs="仿宋"/>
          <w:sz w:val="32"/>
          <w:szCs w:val="32"/>
        </w:rPr>
        <w:t>湖南湘乡经济开发区管理委员会是湘乡市委、市人民政府的派出机构，副县级单位，主要职责：贯切执行国家对开发区的相关法律、法规、政策，负责编制园区总体规划和专项发展规划并组织实施；负责审核园区的投资项目，并按照规定权限审批或报批；负责园区土地的综合管理和开发利用；负责园区各项基础设施和公共设施的建设和管理；负责管理园区的财政收支、规划控制、工程招标、权属登记、劳动人事、综合治理、计划生育等工作；负责指导协调园区招商引资、产业发展、对外经济技术合作和进出口事务等工作；负责承办市委、市政府交办的其他工作。</w:t>
      </w:r>
    </w:p>
    <w:p>
      <w:pPr>
        <w:widowControl/>
        <w:shd w:val="clear" w:color="auto" w:fill="FFFFFF"/>
        <w:spacing w:line="580" w:lineRule="exact"/>
        <w:ind w:firstLine="640"/>
        <w:jc w:val="left"/>
        <w:rPr>
          <w:rFonts w:ascii="仿宋" w:hAnsi="仿宋" w:eastAsia="仿宋" w:cs="仿宋"/>
          <w:szCs w:val="32"/>
          <w:shd w:val="clear" w:color="auto" w:fill="FFFFFF"/>
        </w:rPr>
      </w:pPr>
      <w:r>
        <w:rPr>
          <w:rFonts w:hint="eastAsia" w:ascii="仿宋" w:hAnsi="仿宋" w:eastAsia="仿宋" w:cs="仿宋"/>
          <w:sz w:val="32"/>
          <w:szCs w:val="32"/>
          <w:shd w:val="clear" w:color="auto" w:fill="FFFFFF"/>
        </w:rPr>
        <w:t>湖南湘乡经济开发区管理委员会有办公室、招商合作局、产业发展局、建设管理局、财政局、社会事务局、应急管理局7个副科级机构和纪检监察室、征地拆迁办、政务中心、金石建设办4个部门；下辖湘乡市茶场、湘乡市园艺场、社会事务服务中心3个二级机构；设立市自然资源局经开区分局、市公安局治安大队经开区中队、市城管局城管大队经开区中队，市住建局经开区建设质安站，市市场监督管理局经开区市场监督管理所。</w:t>
      </w:r>
    </w:p>
    <w:p>
      <w:pPr>
        <w:widowControl/>
        <w:shd w:val="clear" w:color="auto" w:fill="FFFFFF"/>
        <w:spacing w:line="580" w:lineRule="exact"/>
        <w:ind w:firstLine="640"/>
        <w:jc w:val="left"/>
        <w:rPr>
          <w:rFonts w:ascii="仿宋" w:hAnsi="仿宋" w:eastAsia="仿宋" w:cs="仿宋"/>
          <w:color w:val="000000"/>
          <w:kern w:val="0"/>
          <w:szCs w:val="32"/>
          <w:shd w:val="clear" w:color="auto" w:fill="FFFFFF"/>
        </w:rPr>
      </w:pPr>
      <w:r>
        <w:rPr>
          <w:rFonts w:hint="eastAsia" w:ascii="仿宋" w:hAnsi="仿宋" w:eastAsia="仿宋" w:cs="仿宋"/>
          <w:color w:val="000000"/>
          <w:kern w:val="0"/>
          <w:sz w:val="32"/>
          <w:szCs w:val="32"/>
          <w:shd w:val="clear" w:color="auto" w:fill="FFFFFF"/>
        </w:rPr>
        <w:t>湘乡经开区人员162人，其中在岗人员152人，退休人员10人。</w:t>
      </w:r>
    </w:p>
    <w:p>
      <w:pPr>
        <w:widowControl/>
        <w:shd w:val="clear" w:color="auto" w:fill="FFFFFF"/>
        <w:spacing w:line="580" w:lineRule="exact"/>
        <w:ind w:firstLine="640"/>
        <w:jc w:val="left"/>
        <w:rPr>
          <w:rFonts w:ascii="仿宋" w:hAnsi="仿宋" w:eastAsia="仿宋" w:cs="仿宋"/>
          <w:szCs w:val="32"/>
          <w:shd w:val="clear" w:color="auto" w:fill="FFFFFF"/>
        </w:rPr>
      </w:pPr>
      <w:r>
        <w:rPr>
          <w:rFonts w:hint="eastAsia" w:ascii="仿宋" w:hAnsi="仿宋" w:eastAsia="仿宋" w:cs="仿宋"/>
          <w:sz w:val="32"/>
          <w:szCs w:val="32"/>
          <w:shd w:val="clear" w:color="auto" w:fill="FFFFFF"/>
        </w:rPr>
        <w:t>单位租用办公场地。</w:t>
      </w:r>
    </w:p>
    <w:p>
      <w:pPr>
        <w:snapToGrid w:val="0"/>
        <w:spacing w:line="600" w:lineRule="exact"/>
        <w:ind w:firstLine="600" w:firstLineChars="200"/>
        <w:rPr>
          <w:rFonts w:ascii="仿宋" w:hAnsi="仿宋" w:eastAsia="黑体" w:cs="仿宋"/>
          <w:sz w:val="30"/>
          <w:szCs w:val="30"/>
        </w:rPr>
      </w:pPr>
      <w:r>
        <w:rPr>
          <w:rFonts w:hint="eastAsia" w:ascii="仿宋" w:hAnsi="仿宋" w:eastAsia="黑体" w:cs="黑体"/>
          <w:sz w:val="30"/>
          <w:szCs w:val="30"/>
        </w:rPr>
        <w:t>二、部门整体支出管理及使用情况</w:t>
      </w:r>
    </w:p>
    <w:p>
      <w:pPr>
        <w:snapToGrid w:val="0"/>
        <w:spacing w:line="600" w:lineRule="exact"/>
        <w:ind w:firstLine="640" w:firstLineChars="200"/>
        <w:rPr>
          <w:rFonts w:ascii="仿宋" w:hAnsi="仿宋" w:eastAsia="仿宋" w:cs="仿宋"/>
          <w:bCs/>
          <w:szCs w:val="32"/>
        </w:rPr>
      </w:pPr>
      <w:r>
        <w:rPr>
          <w:rFonts w:hint="eastAsia" w:ascii="仿宋" w:hAnsi="仿宋" w:eastAsia="仿宋" w:cs="仿宋"/>
          <w:bCs/>
          <w:sz w:val="32"/>
          <w:szCs w:val="32"/>
        </w:rPr>
        <w:t>（一）预算情况</w:t>
      </w:r>
    </w:p>
    <w:p>
      <w:pPr>
        <w:spacing w:line="580" w:lineRule="exact"/>
        <w:ind w:firstLine="640" w:firstLineChars="200"/>
        <w:rPr>
          <w:rFonts w:ascii="仿宋" w:hAnsi="仿宋" w:eastAsia="仿宋" w:cs="宋体"/>
          <w:bCs/>
          <w:szCs w:val="32"/>
        </w:rPr>
      </w:pPr>
      <w:r>
        <w:rPr>
          <w:rFonts w:hint="eastAsia" w:ascii="仿宋" w:hAnsi="仿宋" w:eastAsia="仿宋" w:cs="宋体"/>
          <w:bCs/>
          <w:sz w:val="32"/>
          <w:szCs w:val="32"/>
        </w:rPr>
        <w:t>1、2020年预算收入</w:t>
      </w:r>
    </w:p>
    <w:p>
      <w:pPr>
        <w:spacing w:line="540" w:lineRule="exact"/>
        <w:ind w:firstLine="640" w:firstLineChars="200"/>
        <w:rPr>
          <w:rFonts w:ascii="仿宋" w:hAnsi="仿宋" w:eastAsia="仿宋" w:cs="宋体"/>
          <w:szCs w:val="32"/>
        </w:rPr>
      </w:pPr>
      <w:r>
        <w:rPr>
          <w:rFonts w:hint="eastAsia" w:ascii="仿宋" w:hAnsi="仿宋" w:eastAsia="仿宋" w:cs="仿宋"/>
          <w:sz w:val="32"/>
          <w:szCs w:val="32"/>
        </w:rPr>
        <w:t xml:space="preserve">2020年经开区财政收入完成76083万元，增长20.04%，同比增加12700万元。其中：经开区本级公共财政收入30394万元，上划中央税收26089万元，上划省级税收6828万元，上划市级12772万元。 </w:t>
      </w:r>
    </w:p>
    <w:p>
      <w:pPr>
        <w:widowControl/>
        <w:spacing w:line="580" w:lineRule="exact"/>
        <w:ind w:firstLine="640" w:firstLineChars="200"/>
        <w:rPr>
          <w:rFonts w:ascii="仿宋" w:hAnsi="仿宋" w:eastAsia="仿宋" w:cs="宋体"/>
          <w:bCs/>
          <w:szCs w:val="32"/>
        </w:rPr>
      </w:pPr>
      <w:r>
        <w:rPr>
          <w:rFonts w:hint="eastAsia" w:ascii="仿宋" w:hAnsi="仿宋" w:eastAsia="仿宋" w:cs="宋体"/>
          <w:bCs/>
          <w:sz w:val="32"/>
          <w:szCs w:val="32"/>
        </w:rPr>
        <w:t>2、2020年部门预算</w:t>
      </w:r>
    </w:p>
    <w:p>
      <w:pPr>
        <w:widowControl/>
        <w:spacing w:line="580" w:lineRule="exact"/>
        <w:ind w:firstLine="640" w:firstLineChars="200"/>
        <w:rPr>
          <w:rFonts w:ascii="仿宋" w:hAnsi="仿宋" w:eastAsia="仿宋" w:cs="宋体"/>
          <w:szCs w:val="32"/>
        </w:rPr>
      </w:pPr>
      <w:r>
        <w:rPr>
          <w:rFonts w:hint="eastAsia" w:ascii="仿宋" w:hAnsi="仿宋" w:eastAsia="仿宋" w:cs="宋体"/>
          <w:sz w:val="32"/>
          <w:szCs w:val="32"/>
        </w:rPr>
        <w:t>2020年部门预算总收入20365万元，为一般公共预算拨款收入20365万元。</w:t>
      </w:r>
      <w:r>
        <w:rPr>
          <w:rFonts w:hint="eastAsia" w:ascii="宋体" w:hAnsi="宋体" w:eastAsia="宋体" w:cs="宋体"/>
          <w:color w:val="003399"/>
          <w:sz w:val="32"/>
          <w:szCs w:val="32"/>
        </w:rPr>
        <w:t>根</w:t>
      </w:r>
      <w:r>
        <w:rPr>
          <w:rFonts w:hint="eastAsia" w:ascii="仿宋" w:hAnsi="仿宋" w:eastAsia="仿宋" w:cs="仿宋"/>
          <w:color w:val="000000"/>
          <w:sz w:val="32"/>
          <w:szCs w:val="32"/>
        </w:rPr>
        <w:t>据园区实际情况，遵循统筹兼顾、以收定支、收支平衡的总体原则，2020年公共预算支出预计20365万元，</w:t>
      </w:r>
      <w:r>
        <w:rPr>
          <w:rFonts w:hint="eastAsia" w:ascii="仿宋" w:hAnsi="仿宋" w:eastAsia="仿宋" w:cs="宋体"/>
          <w:sz w:val="32"/>
          <w:szCs w:val="32"/>
        </w:rPr>
        <w:t>具体安排情况如下：</w:t>
      </w:r>
    </w:p>
    <w:p>
      <w:pPr>
        <w:adjustRightInd w:val="0"/>
        <w:spacing w:line="580" w:lineRule="exact"/>
        <w:ind w:firstLine="640" w:firstLineChars="200"/>
        <w:rPr>
          <w:rFonts w:ascii="仿宋" w:hAnsi="仿宋" w:eastAsia="仿宋" w:cs="仿宋"/>
          <w:szCs w:val="32"/>
        </w:rPr>
      </w:pPr>
      <w:r>
        <w:rPr>
          <w:rFonts w:hint="eastAsia" w:ascii="仿宋" w:hAnsi="仿宋" w:eastAsia="仿宋" w:cs="宋体"/>
          <w:sz w:val="32"/>
          <w:szCs w:val="32"/>
        </w:rPr>
        <w:t>（1）基本支出：2020年预算数为2114万元，系保障我委机构正常运转、完成日常工作任务而发生的各项支出，包括用于基本工资、津贴补贴等人员经费以及办公费、印刷费、水电费、办公设备购置等日常公用经费。</w:t>
      </w:r>
      <w:r>
        <w:rPr>
          <w:rFonts w:hint="eastAsia" w:ascii="仿宋" w:hAnsi="仿宋" w:eastAsia="仿宋" w:cs="仿宋"/>
          <w:sz w:val="32"/>
          <w:szCs w:val="32"/>
        </w:rPr>
        <w:t>明细如下：</w:t>
      </w:r>
    </w:p>
    <w:p>
      <w:pPr>
        <w:spacing w:line="580" w:lineRule="exact"/>
        <w:ind w:firstLine="640" w:firstLineChars="200"/>
        <w:rPr>
          <w:rFonts w:ascii="仿宋" w:hAnsi="仿宋" w:eastAsia="仿宋" w:cs="仿宋"/>
          <w:szCs w:val="32"/>
        </w:rPr>
      </w:pPr>
      <w:r>
        <w:rPr>
          <w:rFonts w:hint="eastAsia" w:ascii="仿宋" w:hAnsi="仿宋" w:eastAsia="仿宋" w:cs="仿宋"/>
          <w:sz w:val="32"/>
          <w:szCs w:val="32"/>
        </w:rPr>
        <w:t>工资福利支出：1898万元；商品和服务支出：202万元；对个人和家庭补助支出：14万元。</w:t>
      </w:r>
    </w:p>
    <w:p>
      <w:pPr>
        <w:snapToGrid w:val="0"/>
        <w:spacing w:line="600" w:lineRule="exact"/>
        <w:ind w:firstLine="640" w:firstLineChars="200"/>
        <w:rPr>
          <w:rFonts w:ascii="仿宋" w:hAnsi="仿宋" w:eastAsia="仿宋" w:cs="仿宋"/>
          <w:szCs w:val="32"/>
        </w:rPr>
      </w:pPr>
      <w:r>
        <w:rPr>
          <w:rFonts w:hint="eastAsia" w:ascii="仿宋" w:hAnsi="仿宋" w:eastAsia="仿宋" w:cs="宋体"/>
          <w:sz w:val="32"/>
          <w:szCs w:val="32"/>
        </w:rPr>
        <w:t>（2）项目支出：2020年预算数为18251万元，主要是为做好经开区规划布局、产业发展、管理服务等而发生的支出。</w:t>
      </w:r>
    </w:p>
    <w:p>
      <w:pPr>
        <w:snapToGrid w:val="0"/>
        <w:spacing w:line="600" w:lineRule="exact"/>
        <w:ind w:firstLine="640" w:firstLineChars="200"/>
        <w:rPr>
          <w:rFonts w:ascii="仿宋" w:hAnsi="仿宋" w:eastAsia="仿宋" w:cs="仿宋"/>
          <w:bCs/>
          <w:szCs w:val="32"/>
        </w:rPr>
      </w:pPr>
      <w:r>
        <w:rPr>
          <w:rFonts w:hint="eastAsia" w:ascii="仿宋" w:hAnsi="仿宋" w:eastAsia="仿宋" w:cs="仿宋"/>
          <w:bCs/>
          <w:sz w:val="32"/>
          <w:szCs w:val="32"/>
        </w:rPr>
        <w:t>（二）预算执行情况</w:t>
      </w:r>
    </w:p>
    <w:p>
      <w:pPr>
        <w:widowControl/>
        <w:shd w:val="clear" w:color="auto" w:fill="FFFFFF"/>
        <w:spacing w:line="540" w:lineRule="atLeast"/>
        <w:ind w:firstLine="640"/>
        <w:jc w:val="left"/>
        <w:rPr>
          <w:rFonts w:ascii="仿宋" w:hAnsi="仿宋" w:eastAsia="仿宋" w:cs="仿宋"/>
          <w:kern w:val="0"/>
          <w:szCs w:val="32"/>
          <w:shd w:val="clear" w:color="auto" w:fill="FFFFFF"/>
        </w:rPr>
      </w:pPr>
      <w:r>
        <w:rPr>
          <w:rFonts w:hint="eastAsia" w:ascii="仿宋" w:hAnsi="仿宋" w:eastAsia="仿宋" w:cs="仿宋"/>
          <w:sz w:val="32"/>
          <w:szCs w:val="32"/>
          <w:shd w:val="clear" w:color="auto" w:fill="FFFFFF"/>
        </w:rPr>
        <w:t>2020年经开区财政收入完成76083万元，增长20.04%，同比增加12700万元。</w:t>
      </w:r>
      <w:r>
        <w:rPr>
          <w:rFonts w:hint="eastAsia" w:ascii="仿宋" w:hAnsi="仿宋" w:eastAsia="仿宋" w:cs="仿宋"/>
          <w:kern w:val="0"/>
          <w:sz w:val="32"/>
          <w:szCs w:val="32"/>
          <w:shd w:val="clear" w:color="auto" w:fill="FFFFFF"/>
        </w:rPr>
        <w:t>其中：</w:t>
      </w:r>
      <w:r>
        <w:rPr>
          <w:rFonts w:hint="eastAsia" w:ascii="仿宋" w:hAnsi="仿宋" w:eastAsia="仿宋" w:cs="仿宋"/>
          <w:sz w:val="32"/>
          <w:szCs w:val="32"/>
          <w:shd w:val="clear" w:color="auto" w:fill="FFFFFF"/>
        </w:rPr>
        <w:t>税收收入完成57823万元，增长18.95%，同比增加9212万元；非税收入完成18260万元（其中土地出让收入13603万元），增长23.61%，同比增加3488万元。</w:t>
      </w:r>
    </w:p>
    <w:p>
      <w:pPr>
        <w:spacing w:line="540" w:lineRule="exact"/>
        <w:ind w:firstLine="640" w:firstLineChars="200"/>
        <w:rPr>
          <w:rFonts w:ascii="仿宋" w:hAnsi="仿宋" w:eastAsia="仿宋" w:cs="仿宋"/>
          <w:szCs w:val="32"/>
        </w:rPr>
      </w:pPr>
      <w:r>
        <w:rPr>
          <w:rFonts w:hint="eastAsia" w:ascii="仿宋" w:hAnsi="仿宋" w:eastAsia="仿宋" w:cs="仿宋"/>
          <w:sz w:val="32"/>
          <w:szCs w:val="32"/>
        </w:rPr>
        <w:t>2020年支出35518万元，其中：一般公共服务支出3748万元，公共安全支出173万元，科学技术支出9597万元，社会保障和就业支出160万元，卫生健康支出76万元，节能环保支出2738万元，城乡社区支出15620万元，农林水支出174万元，资源勘探信息等支出3023万元，住房保障支出166万元，灾害防治及应急管理支出43万元。</w:t>
      </w:r>
    </w:p>
    <w:p>
      <w:pPr>
        <w:snapToGrid w:val="0"/>
        <w:spacing w:line="600" w:lineRule="exact"/>
        <w:ind w:firstLine="640" w:firstLineChars="200"/>
        <w:rPr>
          <w:rFonts w:ascii="仿宋" w:hAnsi="仿宋" w:eastAsia="仿宋" w:cs="仿宋"/>
          <w:szCs w:val="32"/>
        </w:rPr>
      </w:pPr>
      <w:r>
        <w:rPr>
          <w:rFonts w:hint="eastAsia" w:ascii="仿宋" w:hAnsi="仿宋" w:eastAsia="仿宋" w:cs="仿宋"/>
          <w:sz w:val="32"/>
          <w:szCs w:val="32"/>
        </w:rPr>
        <w:t>2020年支出35518万元，基本支出2370万元，其中：人员工资津补贴支出1656万元，社会保障缴费支出410万元，商品和服务支出296万元，对个人和家庭的补助支出8万元。项目支出29284万元，主要是为加大产业发展支持力度，促进实体经济发展，完成园区基础设施和公共设施的建设，做好园区管理而发生的支出。</w:t>
      </w:r>
    </w:p>
    <w:p>
      <w:pPr>
        <w:snapToGrid w:val="0"/>
        <w:spacing w:line="600" w:lineRule="exact"/>
        <w:ind w:firstLine="600" w:firstLineChars="200"/>
        <w:rPr>
          <w:rFonts w:ascii="仿宋" w:hAnsi="仿宋" w:eastAsia="黑体" w:cs="仿宋"/>
          <w:sz w:val="30"/>
          <w:szCs w:val="30"/>
        </w:rPr>
      </w:pPr>
      <w:r>
        <w:rPr>
          <w:rFonts w:hint="eastAsia" w:ascii="仿宋" w:hAnsi="仿宋" w:eastAsia="黑体" w:cs="黑体"/>
          <w:sz w:val="30"/>
          <w:szCs w:val="30"/>
        </w:rPr>
        <w:t>三、部门整体支出绩效情况</w:t>
      </w:r>
    </w:p>
    <w:p>
      <w:pPr>
        <w:ind w:firstLine="610"/>
        <w:rPr>
          <w:rFonts w:ascii="仿宋" w:hAnsi="仿宋" w:eastAsia="仿宋" w:cs="仿宋"/>
          <w:szCs w:val="32"/>
        </w:rPr>
      </w:pPr>
      <w:r>
        <w:rPr>
          <w:rFonts w:hint="eastAsia" w:ascii="仿宋" w:hAnsi="仿宋" w:eastAsia="仿宋" w:cs="仿宋"/>
          <w:sz w:val="32"/>
          <w:szCs w:val="32"/>
        </w:rPr>
        <w:t>2020年我委根据年初工作计划和重点工作，保障了我单位机构正常运转、完成日常工作任务而发生的各项支出，较好的完成了园区基础设施和公共设施的建设以及做好园区管理工作的目标。通过加强预算收支的管理，不断建立健全内部管理制度，理顺内部管理流程，部门整体支出管理情况得到了提升。部门整体支出绩效情况如下：</w:t>
      </w:r>
    </w:p>
    <w:p>
      <w:pPr>
        <w:rPr>
          <w:rFonts w:ascii="仿宋" w:hAnsi="仿宋" w:eastAsia="仿宋" w:cs="仿宋"/>
          <w:color w:val="FF0000"/>
          <w:szCs w:val="32"/>
        </w:rPr>
      </w:pPr>
      <w:r>
        <w:rPr>
          <w:rFonts w:hint="eastAsia" w:ascii="仿宋" w:hAnsi="仿宋" w:eastAsia="仿宋" w:cs="仿宋"/>
          <w:sz w:val="32"/>
          <w:szCs w:val="32"/>
        </w:rPr>
        <w:t xml:space="preserve"> （一）预算配置</w:t>
      </w:r>
    </w:p>
    <w:p>
      <w:pPr>
        <w:rPr>
          <w:rFonts w:ascii="仿宋" w:hAnsi="仿宋" w:eastAsia="仿宋" w:cs="仿宋"/>
          <w:szCs w:val="32"/>
        </w:rPr>
      </w:pPr>
      <w:r>
        <w:rPr>
          <w:rFonts w:hint="eastAsia" w:ascii="仿宋" w:hAnsi="仿宋" w:eastAsia="仿宋" w:cs="仿宋"/>
          <w:sz w:val="32"/>
          <w:szCs w:val="32"/>
        </w:rPr>
        <w:t xml:space="preserve">    1、在职人员控制率</w:t>
      </w:r>
    </w:p>
    <w:p>
      <w:pPr>
        <w:ind w:firstLine="600"/>
        <w:rPr>
          <w:rFonts w:ascii="仿宋" w:hAnsi="仿宋" w:eastAsia="仿宋" w:cs="仿宋"/>
          <w:szCs w:val="32"/>
        </w:rPr>
      </w:pPr>
      <w:r>
        <w:rPr>
          <w:rFonts w:hint="eastAsia" w:ascii="仿宋" w:hAnsi="仿宋" w:eastAsia="仿宋" w:cs="仿宋"/>
          <w:sz w:val="32"/>
          <w:szCs w:val="32"/>
        </w:rPr>
        <w:t>我委人员编制数为58人，到年底实有在职人员162人，在职人员控制率在279.31%。</w:t>
      </w:r>
    </w:p>
    <w:p>
      <w:pPr>
        <w:ind w:firstLine="600"/>
        <w:rPr>
          <w:rFonts w:ascii="仿宋" w:hAnsi="仿宋" w:eastAsia="仿宋" w:cs="仿宋"/>
          <w:szCs w:val="32"/>
        </w:rPr>
      </w:pPr>
      <w:r>
        <w:rPr>
          <w:rFonts w:hint="eastAsia" w:ascii="仿宋" w:hAnsi="仿宋" w:eastAsia="仿宋" w:cs="仿宋"/>
          <w:sz w:val="32"/>
          <w:szCs w:val="32"/>
        </w:rPr>
        <w:t>2、“三公经费”变动率</w:t>
      </w:r>
    </w:p>
    <w:p>
      <w:pPr>
        <w:ind w:firstLine="640"/>
        <w:rPr>
          <w:rFonts w:ascii="仿宋" w:hAnsi="仿宋" w:eastAsia="仿宋" w:cs="仿宋"/>
          <w:szCs w:val="32"/>
        </w:rPr>
      </w:pPr>
      <w:r>
        <w:rPr>
          <w:rFonts w:hint="eastAsia" w:ascii="仿宋" w:hAnsi="仿宋" w:eastAsia="仿宋" w:cs="仿宋"/>
          <w:sz w:val="32"/>
          <w:szCs w:val="32"/>
        </w:rPr>
        <w:t>2020年“三公经费”为75万元，2019年度“三公经费”为75万元，变动率为0。</w:t>
      </w:r>
    </w:p>
    <w:p>
      <w:pPr>
        <w:ind w:firstLine="640"/>
        <w:rPr>
          <w:rFonts w:ascii="仿宋" w:hAnsi="仿宋" w:eastAsia="仿宋" w:cs="仿宋"/>
          <w:szCs w:val="32"/>
        </w:rPr>
      </w:pPr>
      <w:r>
        <w:rPr>
          <w:rFonts w:hint="eastAsia" w:ascii="仿宋" w:hAnsi="仿宋" w:eastAsia="仿宋" w:cs="仿宋"/>
          <w:sz w:val="32"/>
          <w:szCs w:val="32"/>
        </w:rPr>
        <w:t>（二）预算执行</w:t>
      </w:r>
    </w:p>
    <w:p>
      <w:pPr>
        <w:rPr>
          <w:rFonts w:ascii="仿宋" w:hAnsi="仿宋" w:eastAsia="仿宋" w:cs="仿宋"/>
          <w:szCs w:val="32"/>
        </w:rPr>
      </w:pPr>
      <w:r>
        <w:rPr>
          <w:rFonts w:hint="eastAsia" w:ascii="仿宋" w:hAnsi="仿宋" w:eastAsia="仿宋" w:cs="仿宋"/>
          <w:sz w:val="32"/>
          <w:szCs w:val="32"/>
        </w:rPr>
        <w:t xml:space="preserve">    1、基本支出预算控制率</w:t>
      </w:r>
    </w:p>
    <w:p>
      <w:pPr>
        <w:ind w:firstLine="640"/>
        <w:rPr>
          <w:rFonts w:ascii="仿宋" w:hAnsi="仿宋" w:eastAsia="仿宋" w:cs="仿宋"/>
          <w:szCs w:val="32"/>
        </w:rPr>
      </w:pPr>
      <w:r>
        <w:rPr>
          <w:rFonts w:hint="eastAsia" w:ascii="仿宋" w:hAnsi="仿宋" w:eastAsia="仿宋" w:cs="仿宋"/>
          <w:sz w:val="32"/>
          <w:szCs w:val="32"/>
        </w:rPr>
        <w:t>2020年度实际发生基本支出2370万元，比年初预算增加了256万元，增加的主要原因是借调派遣人员增加，事业编制工作人员增加了车补。</w:t>
      </w:r>
    </w:p>
    <w:p>
      <w:pPr>
        <w:ind w:firstLine="640"/>
        <w:rPr>
          <w:rFonts w:ascii="仿宋" w:hAnsi="仿宋" w:eastAsia="仿宋" w:cs="仿宋"/>
          <w:szCs w:val="32"/>
        </w:rPr>
      </w:pPr>
      <w:r>
        <w:rPr>
          <w:rFonts w:hint="eastAsia" w:ascii="仿宋" w:hAnsi="仿宋" w:eastAsia="仿宋" w:cs="仿宋"/>
          <w:sz w:val="32"/>
          <w:szCs w:val="32"/>
        </w:rPr>
        <w:t>2、项目支出预算控制率</w:t>
      </w:r>
    </w:p>
    <w:p>
      <w:pPr>
        <w:spacing w:line="600" w:lineRule="exact"/>
        <w:ind w:firstLine="640" w:firstLineChars="200"/>
        <w:rPr>
          <w:rFonts w:ascii="仿宋" w:hAnsi="仿宋" w:eastAsia="仿宋" w:cs="仿宋"/>
          <w:color w:val="FF0000"/>
          <w:szCs w:val="32"/>
        </w:rPr>
      </w:pPr>
      <w:r>
        <w:rPr>
          <w:rFonts w:hint="eastAsia" w:ascii="仿宋" w:hAnsi="仿宋" w:eastAsia="仿宋" w:cs="仿宋"/>
          <w:sz w:val="32"/>
          <w:szCs w:val="32"/>
        </w:rPr>
        <w:t>2020年度实际发生项目支出29284万元，是我单位为完成园区基础设施和公共设施的建设以及做好园区管理而发生的支出，比年初预算增加了11033万元，此为追加了专项支出，上级财政补助收入增加。项目支出具体明细如下：园区产业发展资金9577万元；园区企业奖补资金3023万元；乡镇总部经济712万元；园区提质改造工程463万元；原湖铁综合治理专项2015万元；城乡社区环境卫生346万元；金石项目248万元；宣传工作105万元；红仑污水厂专项320万元；皮革工业园专项91万元；综合治理185万元；招商引资243万元；党建工作76万元；农科园专项经费50万元；原湖铁主厂区及周边污染地下水风险管控274万元；平安城市建设173万元；文明创建工作56万元；土地评估、节约集约评价52万元；工程预算编制51万元；其他专项合计371万元；基础设施建设14717万元。</w:t>
      </w:r>
    </w:p>
    <w:p>
      <w:pPr>
        <w:rPr>
          <w:rFonts w:ascii="仿宋" w:hAnsi="仿宋" w:eastAsia="仿宋" w:cs="仿宋"/>
          <w:szCs w:val="32"/>
        </w:rPr>
      </w:pPr>
      <w:r>
        <w:rPr>
          <w:rFonts w:hint="eastAsia" w:ascii="仿宋" w:hAnsi="仿宋" w:eastAsia="仿宋" w:cs="仿宋"/>
          <w:sz w:val="32"/>
          <w:szCs w:val="32"/>
        </w:rPr>
        <w:t xml:space="preserve">  3、“三公经费”控制率</w:t>
      </w:r>
    </w:p>
    <w:p>
      <w:pPr>
        <w:rPr>
          <w:rFonts w:ascii="仿宋" w:hAnsi="仿宋" w:eastAsia="仿宋" w:cs="仿宋"/>
          <w:szCs w:val="32"/>
        </w:rPr>
      </w:pPr>
      <w:r>
        <w:rPr>
          <w:rFonts w:hint="eastAsia" w:ascii="仿宋" w:hAnsi="仿宋" w:eastAsia="仿宋" w:cs="仿宋"/>
          <w:sz w:val="32"/>
          <w:szCs w:val="32"/>
        </w:rPr>
        <w:t xml:space="preserve">    本年“三公经费”为57.82万元，基中：公务接待费53.15万元，公务用车运行维护费4.67万元，无因公出国（境）费用，年初预算75万元，经费控制率为77.09%。</w:t>
      </w:r>
    </w:p>
    <w:p>
      <w:pPr>
        <w:rPr>
          <w:rFonts w:ascii="仿宋" w:hAnsi="仿宋" w:eastAsia="仿宋" w:cs="仿宋"/>
          <w:szCs w:val="32"/>
        </w:rPr>
      </w:pPr>
      <w:r>
        <w:rPr>
          <w:rFonts w:hint="eastAsia" w:ascii="仿宋" w:hAnsi="仿宋" w:eastAsia="仿宋" w:cs="仿宋"/>
          <w:sz w:val="32"/>
          <w:szCs w:val="32"/>
        </w:rPr>
        <w:t>（三）预算管理</w:t>
      </w:r>
    </w:p>
    <w:p>
      <w:pPr>
        <w:rPr>
          <w:rFonts w:ascii="仿宋" w:hAnsi="仿宋" w:eastAsia="仿宋" w:cs="仿宋"/>
          <w:szCs w:val="32"/>
        </w:rPr>
      </w:pPr>
      <w:r>
        <w:rPr>
          <w:rFonts w:hint="eastAsia" w:ascii="仿宋" w:hAnsi="仿宋" w:eastAsia="仿宋" w:cs="仿宋"/>
          <w:sz w:val="32"/>
          <w:szCs w:val="32"/>
        </w:rPr>
        <w:t xml:space="preserve">    1、建立健全的管理制度</w:t>
      </w:r>
    </w:p>
    <w:p>
      <w:pPr>
        <w:rPr>
          <w:rFonts w:ascii="仿宋" w:hAnsi="仿宋" w:eastAsia="仿宋" w:cs="仿宋"/>
          <w:szCs w:val="32"/>
        </w:rPr>
      </w:pPr>
      <w:r>
        <w:rPr>
          <w:rFonts w:hint="eastAsia" w:ascii="仿宋" w:hAnsi="仿宋" w:eastAsia="仿宋" w:cs="仿宋"/>
          <w:sz w:val="32"/>
          <w:szCs w:val="32"/>
        </w:rPr>
        <w:t xml:space="preserve">    为了进一步强化干部职工的服务意识、效率意识和廉政意识，改进工作作风，厉行勤俭节约，反对铺张浪费，树立园区良好形象，结合我委制度了如下管理制度：机关作风建设管理制度、机关行政效能监察制度、党风廉政建设管理制度、财务管理制度、接待工作管理办法、车辆使用管理办法、厉行节约管理办法、固定资产管理办法、资产管理办法、预算资金管理办法等。</w:t>
      </w:r>
    </w:p>
    <w:p>
      <w:pPr>
        <w:rPr>
          <w:rFonts w:ascii="仿宋" w:hAnsi="仿宋" w:eastAsia="仿宋" w:cs="仿宋"/>
          <w:szCs w:val="32"/>
        </w:rPr>
      </w:pPr>
      <w:r>
        <w:rPr>
          <w:rFonts w:hint="eastAsia" w:ascii="仿宋" w:hAnsi="仿宋" w:eastAsia="仿宋" w:cs="仿宋"/>
          <w:sz w:val="32"/>
          <w:szCs w:val="32"/>
        </w:rPr>
        <w:t xml:space="preserve">  2、专账核算</w:t>
      </w:r>
    </w:p>
    <w:p>
      <w:pPr>
        <w:ind w:firstLine="640"/>
        <w:rPr>
          <w:rFonts w:ascii="仿宋" w:hAnsi="仿宋" w:eastAsia="仿宋" w:cs="仿宋"/>
          <w:szCs w:val="32"/>
        </w:rPr>
      </w:pPr>
      <w:r>
        <w:rPr>
          <w:rFonts w:hint="eastAsia" w:ascii="仿宋" w:hAnsi="仿宋" w:eastAsia="仿宋" w:cs="仿宋"/>
          <w:sz w:val="32"/>
          <w:szCs w:val="32"/>
        </w:rPr>
        <w:t>我委预算内安排的项目支出在“行政支出”下面的“项目支出”下设项目，做到分项目核算，做到专款专用，财政局规定单位只能有一个行政账套，不得新增账套，专项经费在项目支出底下核算。</w:t>
      </w:r>
    </w:p>
    <w:p>
      <w:pPr>
        <w:ind w:firstLine="640"/>
        <w:rPr>
          <w:rFonts w:ascii="仿宋" w:hAnsi="仿宋" w:eastAsia="仿宋" w:cs="仿宋"/>
          <w:szCs w:val="32"/>
        </w:rPr>
      </w:pPr>
      <w:r>
        <w:rPr>
          <w:rFonts w:hint="eastAsia" w:ascii="仿宋" w:hAnsi="仿宋" w:eastAsia="仿宋" w:cs="仿宋"/>
          <w:sz w:val="32"/>
          <w:szCs w:val="32"/>
        </w:rPr>
        <w:t>3、预决算信息公开性和完善性</w:t>
      </w:r>
    </w:p>
    <w:p>
      <w:pPr>
        <w:rPr>
          <w:rFonts w:ascii="仿宋" w:hAnsi="仿宋" w:eastAsia="仿宋" w:cs="仿宋"/>
          <w:szCs w:val="32"/>
        </w:rPr>
      </w:pPr>
      <w:r>
        <w:rPr>
          <w:rFonts w:hint="eastAsia" w:ascii="仿宋" w:hAnsi="仿宋" w:eastAsia="仿宋" w:cs="仿宋"/>
          <w:sz w:val="32"/>
          <w:szCs w:val="32"/>
        </w:rPr>
        <w:t xml:space="preserve">    根据新修订的《预算法》、《国务院关于深化预算管理制度改革的决定》（国发〔2014〕45号）、财政部关于深入推进地方预决算公开工作的通知（财预【2014】36号）的相关要求,按湘乡市财政局相关要求，我委分别于2020年10月6日在湘乡市人民政府网及单位门户网站公开了2020年部门预算、“三公”经费预算，2019年部门决算、“三公”经费决算。做到基础数据信息和会计资料真实、完整、准确。</w:t>
      </w:r>
    </w:p>
    <w:p>
      <w:pPr>
        <w:rPr>
          <w:rFonts w:ascii="仿宋" w:hAnsi="仿宋" w:eastAsia="仿宋" w:cs="仿宋"/>
          <w:szCs w:val="32"/>
        </w:rPr>
      </w:pPr>
      <w:r>
        <w:rPr>
          <w:rFonts w:hint="eastAsia" w:ascii="仿宋" w:hAnsi="仿宋" w:eastAsia="仿宋" w:cs="仿宋"/>
          <w:sz w:val="32"/>
          <w:szCs w:val="32"/>
        </w:rPr>
        <w:t xml:space="preserve"> 4、政府采购完成情况</w:t>
      </w:r>
    </w:p>
    <w:p>
      <w:pPr>
        <w:rPr>
          <w:rFonts w:ascii="仿宋" w:hAnsi="仿宋" w:eastAsia="仿宋" w:cs="仿宋"/>
          <w:szCs w:val="32"/>
        </w:rPr>
      </w:pPr>
      <w:r>
        <w:rPr>
          <w:rFonts w:hint="eastAsia" w:ascii="仿宋" w:hAnsi="仿宋" w:eastAsia="仿宋" w:cs="仿宋"/>
          <w:sz w:val="32"/>
          <w:szCs w:val="32"/>
        </w:rPr>
        <w:t xml:space="preserve">    我委严格按照《湖南省财政厅关于印发〈湖南省2014年政府集中采购目录及政府采购限额标准〉的通知》（湘财购[2013]7号）文件精神，所有的货物、工程和服务达到政府采购要求的，都严格执行了政府采购相关审批程序。</w:t>
      </w:r>
    </w:p>
    <w:p>
      <w:pPr>
        <w:rPr>
          <w:rFonts w:ascii="仿宋" w:hAnsi="仿宋" w:eastAsia="仿宋" w:cs="仿宋"/>
          <w:szCs w:val="32"/>
        </w:rPr>
      </w:pPr>
      <w:r>
        <w:rPr>
          <w:rFonts w:hint="eastAsia" w:ascii="仿宋" w:hAnsi="仿宋" w:eastAsia="仿宋" w:cs="仿宋"/>
          <w:sz w:val="32"/>
          <w:szCs w:val="32"/>
        </w:rPr>
        <w:t xml:space="preserve"> 5、资产管理</w:t>
      </w:r>
    </w:p>
    <w:p>
      <w:pPr>
        <w:ind w:firstLine="1135"/>
        <w:rPr>
          <w:rFonts w:ascii="仿宋" w:hAnsi="仿宋" w:eastAsia="仿宋" w:cs="仿宋"/>
          <w:szCs w:val="32"/>
        </w:rPr>
      </w:pPr>
      <w:r>
        <w:rPr>
          <w:rFonts w:hint="eastAsia" w:ascii="仿宋" w:hAnsi="仿宋" w:eastAsia="仿宋" w:cs="仿宋"/>
          <w:sz w:val="32"/>
          <w:szCs w:val="32"/>
        </w:rPr>
        <w:t>我委制定了健全的《资产管理制度》、《固定资产管理制度》，对资产的使用、管理、处置、产权登记等都作了严格的规定。按规定向财政局报送了资产管理报表。</w:t>
      </w:r>
    </w:p>
    <w:p>
      <w:pPr>
        <w:rPr>
          <w:rFonts w:ascii="仿宋" w:hAnsi="仿宋" w:eastAsia="仿宋" w:cs="仿宋"/>
          <w:color w:val="FF0000"/>
          <w:szCs w:val="32"/>
        </w:rPr>
      </w:pPr>
      <w:r>
        <w:rPr>
          <w:rFonts w:hint="eastAsia" w:ascii="仿宋" w:hAnsi="仿宋" w:eastAsia="仿宋" w:cs="仿宋"/>
          <w:sz w:val="32"/>
          <w:szCs w:val="32"/>
        </w:rPr>
        <w:t>（四）职责履行</w:t>
      </w:r>
    </w:p>
    <w:p>
      <w:pPr>
        <w:adjustRightInd w:val="0"/>
        <w:snapToGrid w:val="0"/>
        <w:spacing w:line="500" w:lineRule="atLeast"/>
        <w:ind w:firstLine="640" w:firstLineChars="200"/>
        <w:rPr>
          <w:rFonts w:ascii="仿宋" w:hAnsi="仿宋" w:eastAsia="仿宋" w:cs="仿宋"/>
          <w:kern w:val="0"/>
          <w:szCs w:val="32"/>
        </w:rPr>
      </w:pPr>
      <w:r>
        <w:rPr>
          <w:rFonts w:hint="eastAsia" w:ascii="仿宋" w:hAnsi="仿宋" w:eastAsia="仿宋" w:cs="仿宋"/>
          <w:kern w:val="0"/>
          <w:sz w:val="32"/>
          <w:szCs w:val="32"/>
        </w:rPr>
        <w:t>（1）在项目管理上，一是突出了进度管理，严格按照项目建设总要求，科学制订施工组织图，明确时间节点控制要求；二是突出了质量控制，明确项目经理作为第一责任人全面负责质量管理工作，建立健全了质量保证体系，实行分级管理、层层负责，责任明确到人，全方位控制好工程质量；三是突出安全责任，贯彻执行“安全第一、预防为主、综合治理”的安全生产方针、政策，与项目管理人员签订安全生产责任书，将安全生产的责任落实在每个人身上，坚决落实好安全生产责任；四是突出成本控制，严格按照市财政评审和招投标文件，优化设计方案，认真把关项目变更，按程序申报、审批、核准；五是突出项目管理，从工程管理体系、质量、进度、费用、变更设计、监理、试验检测、工程稽查、质量奖励与违纪处理、新技术推广应用、资料等方面进行规范，建立廉政合同制度、学习制度，特别是重点岗位人员的廉政、警示教育，做好拒腐防变工作，加强项目廉政建设。</w:t>
      </w:r>
    </w:p>
    <w:p>
      <w:pPr>
        <w:spacing w:line="580" w:lineRule="exact"/>
        <w:ind w:firstLine="640" w:firstLineChars="200"/>
        <w:rPr>
          <w:rFonts w:ascii="仿宋" w:hAnsi="仿宋" w:eastAsia="仿宋" w:cs="仿宋"/>
          <w:kern w:val="0"/>
          <w:szCs w:val="32"/>
        </w:rPr>
      </w:pPr>
      <w:r>
        <w:rPr>
          <w:rFonts w:hint="eastAsia" w:ascii="仿宋" w:hAnsi="仿宋" w:eastAsia="仿宋" w:cs="仿宋"/>
          <w:sz w:val="32"/>
          <w:szCs w:val="32"/>
        </w:rPr>
        <w:t>（2）</w:t>
      </w:r>
      <w:r>
        <w:rPr>
          <w:rFonts w:hint="eastAsia" w:ascii="仿宋" w:hAnsi="仿宋" w:eastAsia="仿宋" w:cs="仿宋"/>
          <w:bCs/>
          <w:sz w:val="32"/>
          <w:szCs w:val="32"/>
        </w:rPr>
        <w:t>攻坚克难，发展要素保障有力。</w:t>
      </w:r>
      <w:r>
        <w:rPr>
          <w:rFonts w:hint="eastAsia" w:ascii="仿宋" w:hAnsi="仿宋" w:eastAsia="仿宋" w:cs="仿宋"/>
          <w:kern w:val="0"/>
          <w:sz w:val="32"/>
          <w:szCs w:val="32"/>
        </w:rPr>
        <w:t>围绕重点项目开展有效征拆，全年完成征地899亩、签订房屋拆迁协议23户、倒地20户，迁坟180冢，确保了惠亚光学、洄水湾、通宏物流、双创四、五期等重点项目及时供地。用地报批和土地上市成效明显，完成洄水湾、省送变电等重点项目用地报批364.16亩，组卷上报维泰科技、双创四期等项目用地50.88亩；上市土地15宗、成交14宗合计916.79亩。</w:t>
      </w:r>
    </w:p>
    <w:p>
      <w:pPr>
        <w:spacing w:line="580" w:lineRule="exact"/>
        <w:ind w:firstLine="640" w:firstLineChars="200"/>
        <w:rPr>
          <w:rFonts w:ascii="仿宋" w:hAnsi="仿宋" w:eastAsia="仿宋" w:cs="仿宋"/>
          <w:color w:val="FF0000"/>
          <w:szCs w:val="32"/>
        </w:rPr>
      </w:pPr>
      <w:r>
        <w:rPr>
          <w:rFonts w:hint="eastAsia" w:ascii="仿宋" w:hAnsi="仿宋" w:eastAsia="仿宋" w:cs="仿宋"/>
          <w:sz w:val="32"/>
          <w:szCs w:val="32"/>
        </w:rPr>
        <w:t>（3）城市管理更加规范。协同开展全区疫情防控宣传及企业工作，开展辖区内日常控违拆违巡查工作，立案35件，加强各项目施工工地巡查，规范渣土运输及处置管理工作，处理8起渣土车未经审批带泥上路案件；开展了流动摊担、餐饮油烟污染、马路市场等专项整治工作，整顿园区餐饮门店43家，对湘乡大道沿线7家长期占道经营的汽车贸易门店的商品车辆依法依程序进行了登记保存处理。全面整治辖区内环境卫生，</w:t>
      </w:r>
      <w:r>
        <w:rPr>
          <w:rFonts w:hint="eastAsia" w:ascii="仿宋" w:hAnsi="仿宋" w:eastAsia="仿宋" w:cs="微软雅黑"/>
          <w:sz w:val="32"/>
          <w:szCs w:val="32"/>
        </w:rPr>
        <w:t>依法处理违章广告，</w:t>
      </w:r>
      <w:r>
        <w:rPr>
          <w:rFonts w:hint="eastAsia" w:ascii="仿宋" w:hAnsi="仿宋" w:eastAsia="仿宋" w:cs="仿宋"/>
          <w:sz w:val="32"/>
          <w:szCs w:val="32"/>
        </w:rPr>
        <w:t>清理破旧、不规范广告、横幅100多条；清除“牛皮癣”300余处，协同做好治沙治超、防汛有关工作。办理行政许可案10起。</w:t>
      </w:r>
    </w:p>
    <w:p>
      <w:pPr>
        <w:adjustRightInd w:val="0"/>
        <w:snapToGrid w:val="0"/>
        <w:spacing w:line="500" w:lineRule="atLeast"/>
        <w:ind w:firstLine="641"/>
        <w:rPr>
          <w:rFonts w:ascii="仿宋" w:hAnsi="仿宋" w:eastAsia="仿宋" w:cs="仿宋"/>
          <w:szCs w:val="32"/>
        </w:rPr>
      </w:pPr>
      <w:r>
        <w:rPr>
          <w:rFonts w:hint="eastAsia" w:ascii="仿宋" w:hAnsi="仿宋" w:eastAsia="仿宋" w:cs="仿宋"/>
          <w:sz w:val="32"/>
          <w:szCs w:val="32"/>
        </w:rPr>
        <w:t>（4）强化安全生产。开展日常性安全生产例行行政执法，下发执法文书700份，一单五制122份，经济处罚共累计人民币46850元，立案4起，简易处罚1起，发现安全问题隐患1950余处，指导督促企业解决问题隐患1800处；重点对兆亮电镀等企业的危化品进行了全面摸排检查专项整治，约谈、督促企业负责人和安全管理员进行专项整治行动，制订园区安全生产三年行动实施方案，确定深思电工、鼎峰机械等10家标杆企业和埃普特、巨强科技等5家双预防企业名单，安全生产工作整体可控，形势向好。</w:t>
      </w:r>
    </w:p>
    <w:p>
      <w:pPr>
        <w:adjustRightInd w:val="0"/>
        <w:snapToGrid w:val="0"/>
        <w:spacing w:line="500" w:lineRule="atLeast"/>
        <w:ind w:firstLine="641"/>
        <w:rPr>
          <w:rFonts w:ascii="仿宋" w:hAnsi="仿宋" w:eastAsia="仿宋" w:cs="仿宋"/>
          <w:color w:val="222222"/>
          <w:szCs w:val="32"/>
        </w:rPr>
      </w:pPr>
      <w:r>
        <w:rPr>
          <w:rFonts w:hint="eastAsia" w:ascii="仿宋" w:hAnsi="仿宋" w:eastAsia="仿宋" w:cs="仿宋"/>
          <w:bCs/>
          <w:sz w:val="32"/>
          <w:szCs w:val="32"/>
        </w:rPr>
        <w:t>（5）加强信访稳定。</w:t>
      </w:r>
      <w:r>
        <w:rPr>
          <w:rFonts w:hint="eastAsia" w:ascii="仿宋" w:hAnsi="仿宋" w:eastAsia="仿宋" w:cs="仿宋"/>
          <w:sz w:val="32"/>
          <w:szCs w:val="32"/>
        </w:rPr>
        <w:t>落实信访问题“五包一”责任制，全年签订息访息诉协议15份，处置企业各类矛盾纠纷30余起，同时接待来访群众50余批次，办理办结交办信访案件26件。切实维护企业生产经营，处置各类阻工矛盾40余起（次），办理侵害企业合法权益刑事案件7起，提供法律服务20余起（次）。</w:t>
      </w:r>
    </w:p>
    <w:p>
      <w:pPr>
        <w:adjustRightInd w:val="0"/>
        <w:snapToGrid w:val="0"/>
        <w:spacing w:line="500" w:lineRule="atLeast"/>
        <w:ind w:firstLine="640"/>
        <w:rPr>
          <w:rFonts w:ascii="仿宋" w:hAnsi="仿宋" w:eastAsia="仿宋" w:cs="仿宋"/>
          <w:color w:val="FF0000"/>
          <w:szCs w:val="32"/>
        </w:rPr>
      </w:pPr>
      <w:r>
        <w:rPr>
          <w:rFonts w:hint="eastAsia" w:ascii="仿宋" w:hAnsi="仿宋" w:eastAsia="仿宋" w:cs="仿宋"/>
          <w:sz w:val="32"/>
          <w:szCs w:val="32"/>
        </w:rPr>
        <w:t>（6）是强力推进环保整治工作</w:t>
      </w:r>
      <w:r>
        <w:rPr>
          <w:rFonts w:hint="eastAsia" w:ascii="仿宋" w:hAnsi="仿宋" w:eastAsia="仿宋" w:cs="仿宋"/>
          <w:b/>
          <w:bCs/>
          <w:sz w:val="32"/>
          <w:szCs w:val="32"/>
        </w:rPr>
        <w:t>。</w:t>
      </w:r>
      <w:r>
        <w:rPr>
          <w:rFonts w:hint="eastAsia" w:ascii="仿宋" w:hAnsi="仿宋" w:eastAsia="仿宋" w:cs="仿宋"/>
          <w:sz w:val="32"/>
          <w:szCs w:val="32"/>
        </w:rPr>
        <w:t>完成园区企业污染防治设施安全隐患自查、117家企业排污许可证登记及发证工作指导、污水处理设施问题排查整治销号及“一园一档”管理工作，指导30余家涉危废企业完成网上登记备案。</w:t>
      </w:r>
      <w:r>
        <w:rPr>
          <w:rFonts w:hint="eastAsia" w:ascii="仿宋" w:hAnsi="仿宋" w:eastAsia="仿宋" w:cs="仿宋"/>
          <w:kern w:val="0"/>
          <w:sz w:val="32"/>
          <w:szCs w:val="32"/>
        </w:rPr>
        <w:t>加快环保转办件的办结进度，</w:t>
      </w:r>
      <w:r>
        <w:rPr>
          <w:rFonts w:hint="eastAsia" w:ascii="仿宋" w:hAnsi="仿宋" w:eastAsia="仿宋" w:cs="仿宋"/>
          <w:sz w:val="32"/>
          <w:szCs w:val="32"/>
        </w:rPr>
        <w:t>国省环保督</w:t>
      </w:r>
      <w:r>
        <w:rPr>
          <w:rFonts w:hint="eastAsia" w:ascii="仿宋" w:hAnsi="仿宋" w:eastAsia="仿宋" w:cs="仿宋"/>
          <w:sz w:val="32"/>
          <w:szCs w:val="32"/>
          <w:lang w:val="en-US" w:eastAsia="zh-CN"/>
        </w:rPr>
        <w:t>察</w:t>
      </w:r>
      <w:bookmarkStart w:id="3" w:name="_GoBack"/>
      <w:bookmarkEnd w:id="3"/>
      <w:r>
        <w:rPr>
          <w:rFonts w:hint="eastAsia" w:ascii="仿宋" w:hAnsi="仿宋" w:eastAsia="仿宋" w:cs="仿宋"/>
          <w:sz w:val="32"/>
          <w:szCs w:val="32"/>
        </w:rPr>
        <w:t>交办件销号资料已传至中央环保销号系统，完成2家皮革企业提质改造</w:t>
      </w:r>
      <w:r>
        <w:rPr>
          <w:rFonts w:hint="eastAsia" w:ascii="仿宋" w:hAnsi="仿宋" w:eastAsia="仿宋" w:cs="仿宋"/>
          <w:kern w:val="0"/>
          <w:sz w:val="32"/>
          <w:szCs w:val="32"/>
        </w:rPr>
        <w:t>。顺利通过红仑污水处理厂及管网改造工程验收，实现废水达标排放。</w:t>
      </w:r>
    </w:p>
    <w:p>
      <w:pPr>
        <w:adjustRightInd w:val="0"/>
        <w:snapToGrid w:val="0"/>
        <w:spacing w:line="580" w:lineRule="atLeast"/>
        <w:ind w:firstLine="640" w:firstLineChars="200"/>
        <w:rPr>
          <w:rFonts w:ascii="仿宋" w:hAnsi="仿宋" w:eastAsia="仿宋" w:cs="仿宋"/>
          <w:szCs w:val="32"/>
        </w:rPr>
      </w:pPr>
      <w:r>
        <w:rPr>
          <w:rFonts w:hint="eastAsia" w:ascii="仿宋" w:hAnsi="仿宋" w:eastAsia="仿宋" w:cs="仿宋"/>
          <w:sz w:val="32"/>
          <w:szCs w:val="32"/>
        </w:rPr>
        <w:t xml:space="preserve">（7）2020年园区网站共计发布新闻稿件137条，其中人民日报海外版、民生新闻网上稿6篇，湖南日报等省级媒体上稿16篇，湘潭日报上稿25篇。完成全年度政府网站信息公开、维护工作，通过国、省检查。完成中心组学习16次，学习强国管理，组织观看主旋律电影3次,完成意识形态考核、专项巡视整改工作。完成年度文明单位复检工作，做好文明城市迎检、志愿者注册、文明劝导、联点共建等工作。办理市民服务热线77件次，市长信箱、红网百姓呼声等平台接到投诉、咨询、建议57件次，回复率98%。完成网络安全考核、硬件管理、网络通畅、网评任务等工作。       </w:t>
      </w:r>
    </w:p>
    <w:p>
      <w:pPr>
        <w:numPr>
          <w:ilvl w:val="0"/>
          <w:numId w:val="2"/>
        </w:numPr>
        <w:adjustRightInd w:val="0"/>
        <w:snapToGrid w:val="0"/>
        <w:spacing w:line="580" w:lineRule="atLeast"/>
        <w:ind w:firstLine="640" w:firstLineChars="200"/>
        <w:rPr>
          <w:rFonts w:ascii="仿宋" w:hAnsi="仿宋" w:eastAsia="仿宋" w:cs="仿宋"/>
          <w:szCs w:val="32"/>
        </w:rPr>
      </w:pPr>
      <w:r>
        <w:rPr>
          <w:rFonts w:hint="eastAsia" w:ascii="仿宋" w:hAnsi="仿宋" w:eastAsia="仿宋" w:cs="仿宋"/>
          <w:kern w:val="0"/>
          <w:sz w:val="32"/>
          <w:szCs w:val="32"/>
        </w:rPr>
        <w:t>开展基层党组织标准化建设，全面加强党的建设。</w:t>
      </w:r>
      <w:r>
        <w:rPr>
          <w:rFonts w:hint="eastAsia" w:ascii="仿宋" w:hAnsi="仿宋" w:eastAsia="仿宋" w:cs="仿宋"/>
          <w:sz w:val="32"/>
          <w:szCs w:val="32"/>
        </w:rPr>
        <w:t>抓好疫情防控和复工复产，组建12支党员“先锋队”，设立12个党员责任区、38个党员示范岗，夯实组织根基，牢筑战斗堡垒，发挥“两个作用”，选派112名党员干部担任驻企联络员，助力复工复产，做好“六稳”工作、落实“六保”任务，补短板、挖潜能、强服务、兴产业，做到守土有责、守土担责、守土尽责，筑牢“红色防护墙”。筑牢夯实基层基础。新成立丰辉电力和宇锦电力2个党支部，组织埃普特、正润创服等13个党支部换届，配齐配强支部班子；提质改造了3个党支部活动室；8个非公企业党组织申报湖南省两新党组织“标杆引领”计划创建对象；机关五支部、金子箱包支部获评湘潭市第三批“五星”党支部；金子箱包、银河制革党支部创建成为湘乡市示范支部，打造了银河制革党支部的“银河之星、永放光芒”党建品牌；严格按标准按程序发展党员15名；选派20名机关党员到非公党支部担任党建工作指导员，全年补助非公企业党组织活动经费32万余元，着力推进党建工作与日常工作的融合发展。深化主题教育成果。巩固深化“不忘初心、牢记使命”主题教育成果，严格按照计划集中组织轮训党员151人，组织机关关党员赴郴州汝城开展“寻初心、守初心、践初心”主题党日活动，现场学习习近平总书记考察湖南时的重要讲话精神，领悟“半条被子”的感人故事；组织“光影铸魂”电影党课活动；光大燃气党支部“我是党员我践行”创意短视频荣获全市一等奖；组织无偿献血活动，所属29个党支部160余名党员参与献血；“战疫密码：中国之治”主题微宣讲《戴着口罩的爱》在全市两新组织进行展演；“四联共建”活动深入展开，成效明显；加强党内关怀，“春节”“七一”慰问困难党员38人；选派2名机关党员干部到联点村泉塘镇花西村担任帮助队队长、副队长，严格落实“七个一”结对帮扶活动，对泉塘镇花西村、新汪村、繁育村75户贫困户每月进行走访，全年走访924户次，制定帮扶计划，助推产业发展，为5户帮扶对象修缮加固房屋，落实消费扶贫，安装扶贫专柜15个，帮扶基础设施项目资金30余万元。</w:t>
      </w:r>
    </w:p>
    <w:p>
      <w:pPr>
        <w:adjustRightInd w:val="0"/>
        <w:snapToGrid w:val="0"/>
        <w:spacing w:line="580" w:lineRule="atLeast"/>
        <w:ind w:firstLine="640" w:firstLineChars="200"/>
        <w:rPr>
          <w:rFonts w:ascii="仿宋" w:hAnsi="仿宋" w:eastAsia="仿宋" w:cs="仿宋"/>
          <w:szCs w:val="32"/>
        </w:rPr>
      </w:pPr>
      <w:r>
        <w:rPr>
          <w:rFonts w:hint="eastAsia" w:ascii="仿宋" w:hAnsi="仿宋" w:eastAsia="仿宋" w:cs="仿宋"/>
          <w:sz w:val="32"/>
          <w:szCs w:val="32"/>
        </w:rPr>
        <w:t>（9）狠抓党风廉政建设，建设廉洁高效园区。</w:t>
      </w:r>
      <w:r>
        <w:rPr>
          <w:rFonts w:hint="eastAsia" w:ascii="仿宋_GB2312" w:hAnsi="Times New Roman" w:eastAsia="仿宋_GB2312" w:cs="仿宋_GB2312"/>
          <w:sz w:val="32"/>
          <w:szCs w:val="32"/>
        </w:rPr>
        <w:t>以正风肃纪推动园区“两个责任”落实到位，落实部门负责人和分管领导年度党风廉政建设责任制，切实履行领导干部“一岗双责”</w:t>
      </w:r>
      <w:r>
        <w:rPr>
          <w:rFonts w:hint="eastAsia" w:ascii="仿宋_GB2312" w:hAnsi="仿宋" w:eastAsia="仿宋_GB2312" w:cs="仿宋_GB2312"/>
          <w:sz w:val="32"/>
          <w:szCs w:val="32"/>
        </w:rPr>
        <w:t>,制定完善经开区机关廉政风险点进行排查和防控措施方案，</w:t>
      </w:r>
      <w:r>
        <w:rPr>
          <w:rFonts w:hint="eastAsia" w:ascii="仿宋_GB2312" w:hAnsi="宋体" w:eastAsia="仿宋_GB2312" w:cs="仿宋_GB2312"/>
          <w:sz w:val="32"/>
          <w:szCs w:val="32"/>
        </w:rPr>
        <w:t>在园区机关开展了落实中央八项规定精神“回头看”工作。</w:t>
      </w:r>
      <w:r>
        <w:rPr>
          <w:rFonts w:hint="eastAsia" w:ascii="仿宋_GB2312" w:hAnsi="Times New Roman" w:eastAsia="仿宋_GB2312" w:cs="仿宋_GB2312"/>
          <w:sz w:val="32"/>
          <w:szCs w:val="32"/>
        </w:rPr>
        <w:t>坚持落实党政干部季度廉政谈心谈话制度，</w:t>
      </w:r>
      <w:r>
        <w:rPr>
          <w:rFonts w:hint="eastAsia" w:ascii="仿宋_GB2312" w:hAnsi="仿宋" w:eastAsia="仿宋_GB2312" w:cs="仿宋_GB2312"/>
          <w:sz w:val="32"/>
          <w:szCs w:val="32"/>
        </w:rPr>
        <w:t>组织</w:t>
      </w:r>
      <w:r>
        <w:rPr>
          <w:rFonts w:hint="eastAsia" w:ascii="仿宋_GB2312" w:hAnsi="Times New Roman" w:eastAsia="仿宋_GB2312" w:cs="仿宋_GB2312"/>
          <w:sz w:val="32"/>
          <w:szCs w:val="32"/>
        </w:rPr>
        <w:t>机关全体党员进行廉政教育和作风整顿，</w:t>
      </w:r>
      <w:r>
        <w:rPr>
          <w:rFonts w:hint="eastAsia" w:ascii="仿宋_GB2312" w:hAnsi="仿宋" w:eastAsia="仿宋_GB2312" w:cs="仿宋_GB2312"/>
          <w:sz w:val="32"/>
          <w:szCs w:val="32"/>
        </w:rPr>
        <w:t>全年开展党风廉政和作风纪律集中教育5次，组织观看《初心与迷失》、《高墙悲歌》等警示教育片，邀请市纪委领导为全体干部职工进行廉洁教育。</w:t>
      </w:r>
    </w:p>
    <w:p>
      <w:pPr>
        <w:spacing w:line="580" w:lineRule="exact"/>
        <w:ind w:firstLine="640" w:firstLineChars="200"/>
        <w:rPr>
          <w:rFonts w:ascii="仿宋" w:hAnsi="仿宋" w:eastAsia="仿宋" w:cs="仿宋"/>
          <w:szCs w:val="32"/>
        </w:rPr>
      </w:pPr>
      <w:r>
        <w:rPr>
          <w:rFonts w:hint="eastAsia" w:ascii="仿宋" w:hAnsi="仿宋" w:eastAsia="仿宋" w:cs="仿宋"/>
          <w:bCs/>
          <w:sz w:val="32"/>
          <w:szCs w:val="32"/>
        </w:rPr>
        <w:t>（10）疫情防控有力，加速企业复工复产。一是疫情防控工作有力。</w:t>
      </w:r>
      <w:r>
        <w:rPr>
          <w:rFonts w:hint="eastAsia" w:ascii="仿宋" w:hAnsi="仿宋" w:eastAsia="仿宋" w:cs="仿宋"/>
          <w:sz w:val="32"/>
          <w:szCs w:val="32"/>
        </w:rPr>
        <w:t>新冠肺炎疫情发生以来，我委坚持“五个第一线”筑牢疫情“防控网”，实现全区无1例新冠肺炎出现。</w:t>
      </w:r>
      <w:r>
        <w:rPr>
          <w:rFonts w:hint="eastAsia" w:ascii="仿宋" w:hAnsi="仿宋" w:eastAsia="仿宋" w:cs="Arial"/>
          <w:sz w:val="32"/>
          <w:szCs w:val="32"/>
          <w:shd w:val="clear" w:color="auto" w:fill="FFFFFF"/>
        </w:rPr>
        <w:t>二是全面落实上级政策支持。</w:t>
      </w:r>
      <w:r>
        <w:rPr>
          <w:rFonts w:hint="eastAsia" w:ascii="仿宋" w:hAnsi="仿宋" w:eastAsia="仿宋" w:cs="仿宋"/>
          <w:sz w:val="32"/>
          <w:szCs w:val="32"/>
        </w:rPr>
        <w:t>疫情期间先后落实了湘潭市支持企业复工复产补贴购买防疫物资资金及员工返工交通补贴资金56家企业4343人共计资金86.86万元，核酸筛查102人补贴16320元，支持企业防疫消毒水600kg、酒精300kg、口罩60000个，支持电镀产业园利用制造业对电镀需求扩大镀种数量和生产线，支持简美汽配、香雪园等企业转型生产口罩，日产量达到30万个。三是全力争资争项。</w:t>
      </w:r>
      <w:r>
        <w:rPr>
          <w:rFonts w:hint="eastAsia" w:ascii="仿宋_GB2312" w:hAnsi="仿宋_GB2312" w:eastAsia="仿宋_GB2312" w:cs="仿宋_GB2312"/>
          <w:sz w:val="32"/>
          <w:szCs w:val="32"/>
        </w:rPr>
        <w:t>疫情期间，</w:t>
      </w:r>
      <w:r>
        <w:rPr>
          <w:rFonts w:hint="eastAsia" w:ascii="仿宋" w:hAnsi="仿宋" w:eastAsia="仿宋" w:cs="仿宋"/>
          <w:color w:val="000000"/>
          <w:sz w:val="32"/>
          <w:szCs w:val="32"/>
        </w:rPr>
        <w:t>积极筹措稳产帮扶资金</w:t>
      </w:r>
      <w:r>
        <w:rPr>
          <w:rFonts w:ascii="Times New Roman" w:hAnsi="Times New Roman" w:eastAsia="仿宋" w:cs="Times New Roman"/>
          <w:sz w:val="32"/>
          <w:szCs w:val="24"/>
        </w:rPr>
        <w:t>218</w:t>
      </w:r>
      <w:r>
        <w:rPr>
          <w:rFonts w:hint="eastAsia" w:ascii="仿宋" w:hAnsi="仿宋" w:eastAsia="仿宋" w:cs="仿宋"/>
          <w:color w:val="000000"/>
          <w:sz w:val="32"/>
          <w:szCs w:val="32"/>
        </w:rPr>
        <w:t>万元，帮助困难企业复工复产。</w:t>
      </w:r>
      <w:r>
        <w:rPr>
          <w:rFonts w:hint="eastAsia" w:ascii="仿宋_GB2312" w:hAnsi="仿宋_GB2312" w:eastAsia="仿宋_GB2312" w:cs="仿宋_GB2312"/>
          <w:sz w:val="32"/>
          <w:szCs w:val="32"/>
        </w:rPr>
        <w:t>“135”工程7个租赁项目，共租赁15893平方米标准厂房，预计争取项目资金79.465万元；鸿安电力25万元；巨强科技770万元；埃普特168万元；红仑污水处理厂（一期）800万元。</w:t>
      </w:r>
    </w:p>
    <w:p>
      <w:pPr>
        <w:rPr>
          <w:rFonts w:ascii="仿宋" w:hAnsi="仿宋" w:eastAsia="仿宋" w:cs="仿宋"/>
          <w:szCs w:val="32"/>
        </w:rPr>
      </w:pPr>
      <w:r>
        <w:rPr>
          <w:rFonts w:hint="eastAsia" w:ascii="仿宋" w:hAnsi="仿宋" w:eastAsia="仿宋" w:cs="仿宋"/>
          <w:sz w:val="32"/>
          <w:szCs w:val="32"/>
        </w:rPr>
        <w:t>（五）履职效益</w:t>
      </w:r>
    </w:p>
    <w:p>
      <w:pPr>
        <w:spacing w:line="580" w:lineRule="exact"/>
        <w:ind w:firstLine="640" w:firstLineChars="200"/>
        <w:rPr>
          <w:rFonts w:ascii="仿宋" w:hAnsi="仿宋" w:eastAsia="仿宋" w:cs="仿宋"/>
          <w:szCs w:val="32"/>
        </w:rPr>
      </w:pPr>
      <w:r>
        <w:rPr>
          <w:rFonts w:hint="eastAsia" w:ascii="仿宋" w:hAnsi="仿宋" w:eastAsia="仿宋" w:cs="仿宋"/>
          <w:sz w:val="32"/>
          <w:szCs w:val="32"/>
        </w:rPr>
        <w:t>（1）经济效益 、社会效益：第一、</w:t>
      </w:r>
      <w:r>
        <w:rPr>
          <w:rFonts w:hint="eastAsia" w:ascii="仿宋" w:hAnsi="仿宋" w:eastAsia="仿宋" w:cs="仿宋"/>
          <w:kern w:val="0"/>
          <w:sz w:val="32"/>
          <w:szCs w:val="32"/>
        </w:rPr>
        <w:t>聚焦园区产业定位，以延链补链强链为目标，采取以商招商、产业链招商、工业地产招商等多种方式，招商引资取得历史性突破。全年共签约项目56个，其中1亿元以上项目16个（宏达电子、二建坤都等），合同引进资金80.85亿元，同比增长85.86%。特别是电力产业园新引进企业10家，累计引进企业达41家，其中江西、上海等外地企业10家，从福建、广州、长沙、娄底等地迁回本地企业8家；通过引进湖南送变电、方园电力等电力设备制造加工企业，成功打造了集电力施工、电力设备制造及检验检测为一体的电工电气电工电气产业。大力推进电子信息产业园标准厂房建设，先后吸引湘君电子、维泰科技、新天源电子等15家电子企业，投产达产后可实现年产值40亿元、新增税收1.5亿元、就业5000人以上。围绕皮革产业转型升级，延伸产业链，6月18日一次性引进20家皮革深加工企业，并当年投产15家。</w:t>
      </w:r>
      <w:r>
        <w:rPr>
          <w:rFonts w:hint="eastAsia" w:ascii="仿宋" w:hAnsi="仿宋" w:eastAsia="仿宋" w:cs="仿宋"/>
          <w:sz w:val="32"/>
          <w:szCs w:val="32"/>
        </w:rPr>
        <w:t>第二、采取项目推进现场服务模式，践行“一线工作法”，不断刷新项目建设新速度。全年新增投产企业26家,其中裘革企业15家；在建项目41个，其中产业项目38个，列入省重点项目1个、湘潭市重点项目14个，市级重点项目18个，开工率为100%，完成投资29.76亿元。方园电力、长申建材、绿锂新材、巨合新材、永嘉农业等8个项目建成投产，10家裘革企业实现投产。电力产业园企业建成运营7家、正在建设18家，总部大楼、孵化中心已完成主体建设和外装修。投资5亿元的湘君电子项目，从签约到主体竣工仅用时3个月，是园区当年签约、当年动工、当年能投产的亿元项目。电子信息产业园一期9.5万平方米、振添光学二期5.1万平方米、电子信息产业园二期4万平方米标准厂房3月开工、7月底完成主体建设封顶，目前已完工并移交入园企业进行二次装饰；电子信息产业园三期8月3日签约，9月18日开工建设，实现“签约即注册、交地即开工”, 12万平方米标准厂房2栋已封顶，其余正在进行主体施工；电子信息产业园四期15万平方米标准厂房有4栋即将封顶，其它工程正在快速推进；皮革深加工裘革工艺园项目已完成厂房改造，新建厂房已完成主体施工；惠亚光学完成钢结构厂房施工。</w:t>
      </w:r>
      <w:r>
        <w:rPr>
          <w:rFonts w:hint="eastAsia" w:ascii="仿宋" w:hAnsi="仿宋" w:eastAsia="仿宋" w:cs="仿宋"/>
          <w:kern w:val="0"/>
          <w:sz w:val="32"/>
          <w:szCs w:val="32"/>
        </w:rPr>
        <w:t>第三、</w:t>
      </w:r>
      <w:r>
        <w:rPr>
          <w:rFonts w:hint="eastAsia" w:ascii="仿宋" w:hAnsi="仿宋" w:eastAsia="仿宋" w:cs="Arial"/>
          <w:sz w:val="32"/>
          <w:szCs w:val="32"/>
          <w:shd w:val="clear" w:color="auto" w:fill="FFFFFF"/>
        </w:rPr>
        <w:t>全年</w:t>
      </w:r>
      <w:r>
        <w:rPr>
          <w:rFonts w:hint="eastAsia" w:ascii="仿宋" w:hAnsi="仿宋" w:eastAsia="仿宋" w:cs="仿宋_GB2312"/>
          <w:sz w:val="32"/>
          <w:szCs w:val="32"/>
        </w:rPr>
        <w:t>新增绿锂新材、埃迪特威等规模企业16家，进入审核流程企业5家。已成功申报依微迪医疗器械、卓一高科等高新技术企业9家，12月已公示8家高新技术企业。截至11月已完成专利申请数259件，专利申请授权累计数141件。新增埃普特、鼎峰机械2家小巨人企业；湖南</w:t>
      </w:r>
      <w:r>
        <w:rPr>
          <w:rStyle w:val="12"/>
          <w:rFonts w:hint="eastAsia" w:ascii="仿宋" w:hAnsi="仿宋" w:eastAsia="仿宋" w:cs="仿宋"/>
          <w:sz w:val="32"/>
          <w:szCs w:val="32"/>
        </w:rPr>
        <w:t>埃普特医疗器械有限公司已于</w:t>
      </w:r>
      <w:r>
        <w:rPr>
          <w:rFonts w:hint="eastAsia" w:ascii="仿宋" w:hAnsi="仿宋" w:eastAsia="仿宋" w:cs="仿宋"/>
          <w:sz w:val="32"/>
          <w:szCs w:val="32"/>
        </w:rPr>
        <w:t>2021年1月7日在上交所科创板上市。园区</w:t>
      </w:r>
      <w:r>
        <w:rPr>
          <w:rFonts w:hint="eastAsia" w:ascii="仿宋" w:hAnsi="仿宋" w:eastAsia="仿宋" w:cs="Arial"/>
          <w:sz w:val="32"/>
          <w:szCs w:val="32"/>
          <w:shd w:val="clear" w:color="auto" w:fill="FFFFFF"/>
        </w:rPr>
        <w:t>成功获批湖南省双创示范基地，环境污染三方治理实施方案已完成国家发改委的现场答辩。</w:t>
      </w:r>
    </w:p>
    <w:p>
      <w:pPr>
        <w:rPr>
          <w:rFonts w:ascii="仿宋" w:hAnsi="仿宋" w:eastAsia="仿宋" w:cs="仿宋"/>
          <w:szCs w:val="32"/>
        </w:rPr>
      </w:pPr>
      <w:r>
        <w:rPr>
          <w:rFonts w:hint="eastAsia" w:ascii="仿宋" w:hAnsi="仿宋" w:eastAsia="仿宋" w:cs="仿宋"/>
          <w:sz w:val="32"/>
          <w:szCs w:val="32"/>
        </w:rPr>
        <w:t>（2）行政效能：我委高度重视行政效能建设工作，深入贯彻落实科学发展观，制定方案，明确工作职责。推进政务公开透明度，方便人民群众；明确相关股室的职责，端正工作态度，转变机关作风。认真履行好各自职责，来人、来电要热情；进一步精简、规范审批程序；加强经费及资产管理；充分利用网络提高办公效率，降低行政运行成本。</w:t>
      </w:r>
    </w:p>
    <w:p>
      <w:pPr>
        <w:rPr>
          <w:rFonts w:ascii="仿宋" w:hAnsi="仿宋" w:eastAsia="仿宋" w:cs="仿宋"/>
          <w:szCs w:val="32"/>
        </w:rPr>
      </w:pPr>
      <w:r>
        <w:rPr>
          <w:rFonts w:hint="eastAsia" w:ascii="仿宋" w:hAnsi="仿宋" w:eastAsia="仿宋" w:cs="仿宋"/>
          <w:sz w:val="32"/>
          <w:szCs w:val="32"/>
        </w:rPr>
        <w:t>（3）社会公众或服务对象满意度：2020年我委在市委市政府的正确领导下，通过一年的努力工作，园区上下全体干部职工切实转变工作作风，办事更极积，态度更热情，使广大群众和服务对象更满意，满意率达到百分之九十以上。</w:t>
      </w:r>
    </w:p>
    <w:p>
      <w:pPr>
        <w:rPr>
          <w:rFonts w:ascii="仿宋" w:hAnsi="仿宋" w:eastAsia="仿宋" w:cs="仿宋"/>
          <w:szCs w:val="32"/>
        </w:rPr>
      </w:pPr>
      <w:r>
        <w:rPr>
          <w:rFonts w:hint="eastAsia" w:ascii="仿宋" w:hAnsi="仿宋" w:eastAsia="仿宋" w:cs="仿宋"/>
          <w:sz w:val="32"/>
          <w:szCs w:val="32"/>
        </w:rPr>
        <w:t xml:space="preserve">    综合以上各项指标，通过评价小组的认真严格考核，最后得分96分，自评结果为优。 </w:t>
      </w:r>
    </w:p>
    <w:p>
      <w:pPr>
        <w:snapToGrid w:val="0"/>
        <w:spacing w:line="600" w:lineRule="exact"/>
        <w:ind w:firstLine="600" w:firstLineChars="200"/>
        <w:rPr>
          <w:rFonts w:ascii="仿宋" w:hAnsi="仿宋" w:eastAsia="黑体" w:cs="仿宋"/>
          <w:sz w:val="30"/>
          <w:szCs w:val="30"/>
        </w:rPr>
      </w:pPr>
      <w:r>
        <w:rPr>
          <w:rFonts w:hint="eastAsia" w:ascii="仿宋" w:hAnsi="仿宋" w:eastAsia="黑体" w:cs="黑体"/>
          <w:sz w:val="30"/>
          <w:szCs w:val="30"/>
        </w:rPr>
        <w:t>四、存在的主要问题</w:t>
      </w:r>
    </w:p>
    <w:p>
      <w:pPr>
        <w:ind w:firstLine="640" w:firstLineChars="200"/>
        <w:rPr>
          <w:rFonts w:ascii="仿宋" w:hAnsi="仿宋" w:eastAsia="仿宋" w:cs="仿宋"/>
          <w:szCs w:val="32"/>
        </w:rPr>
      </w:pPr>
      <w:r>
        <w:rPr>
          <w:rFonts w:hint="eastAsia" w:ascii="仿宋" w:hAnsi="仿宋" w:eastAsia="仿宋" w:cs="仿宋"/>
          <w:sz w:val="32"/>
          <w:szCs w:val="32"/>
        </w:rPr>
        <w:t>（一）要进一步完善年初预算编制。</w:t>
      </w:r>
    </w:p>
    <w:p>
      <w:pPr>
        <w:snapToGrid w:val="0"/>
        <w:spacing w:line="600" w:lineRule="exact"/>
        <w:ind w:firstLine="640" w:firstLineChars="200"/>
        <w:rPr>
          <w:rFonts w:ascii="仿宋" w:hAnsi="仿宋" w:eastAsia="仿宋" w:cs="仿宋"/>
          <w:szCs w:val="32"/>
        </w:rPr>
      </w:pPr>
      <w:r>
        <w:rPr>
          <w:rFonts w:hint="eastAsia" w:ascii="仿宋" w:hAnsi="仿宋" w:eastAsia="仿宋" w:cs="仿宋"/>
          <w:sz w:val="32"/>
          <w:szCs w:val="32"/>
        </w:rPr>
        <w:t>（二）资产管理方面，要加强对往来款项定期进行清理，进一步加强固定资产核算管理。</w:t>
      </w:r>
    </w:p>
    <w:p>
      <w:pPr>
        <w:snapToGrid w:val="0"/>
        <w:spacing w:line="600" w:lineRule="exact"/>
        <w:ind w:firstLine="600" w:firstLineChars="200"/>
        <w:rPr>
          <w:rFonts w:ascii="仿宋" w:hAnsi="仿宋" w:eastAsia="黑体" w:cs="仿宋"/>
          <w:sz w:val="30"/>
          <w:szCs w:val="30"/>
        </w:rPr>
      </w:pPr>
      <w:r>
        <w:rPr>
          <w:rFonts w:hint="eastAsia" w:ascii="仿宋" w:hAnsi="仿宋" w:eastAsia="黑体" w:cs="黑体"/>
          <w:sz w:val="30"/>
          <w:szCs w:val="30"/>
        </w:rPr>
        <w:t>五、改进措施和有关建议</w:t>
      </w:r>
    </w:p>
    <w:p>
      <w:pPr>
        <w:ind w:firstLine="640" w:firstLineChars="200"/>
        <w:rPr>
          <w:rFonts w:ascii="仿宋" w:hAnsi="仿宋" w:eastAsia="仿宋" w:cs="仿宋"/>
          <w:szCs w:val="32"/>
        </w:rPr>
      </w:pPr>
      <w:r>
        <w:rPr>
          <w:rFonts w:hint="eastAsia" w:ascii="仿宋" w:hAnsi="仿宋" w:eastAsia="仿宋" w:cs="仿宋"/>
          <w:sz w:val="32"/>
          <w:szCs w:val="32"/>
        </w:rPr>
        <w:t xml:space="preserve">（一）、细化预算编制工作，认真做好预算的编制。    </w:t>
      </w:r>
    </w:p>
    <w:p>
      <w:pPr>
        <w:rPr>
          <w:rFonts w:ascii="仿宋" w:hAnsi="仿宋" w:eastAsia="仿宋" w:cs="仿宋"/>
          <w:szCs w:val="32"/>
        </w:rPr>
      </w:pPr>
      <w:r>
        <w:rPr>
          <w:rFonts w:hint="eastAsia" w:ascii="仿宋" w:hAnsi="仿宋" w:eastAsia="仿宋" w:cs="仿宋"/>
          <w:sz w:val="32"/>
          <w:szCs w:val="32"/>
        </w:rPr>
        <w:t xml:space="preserve">    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rPr>
          <w:rFonts w:ascii="仿宋" w:hAnsi="仿宋" w:eastAsia="仿宋" w:cs="仿宋"/>
          <w:szCs w:val="32"/>
        </w:rPr>
      </w:pPr>
      <w:r>
        <w:rPr>
          <w:rFonts w:hint="eastAsia" w:ascii="仿宋" w:hAnsi="仿宋" w:eastAsia="仿宋" w:cs="仿宋"/>
          <w:sz w:val="32"/>
          <w:szCs w:val="32"/>
        </w:rPr>
        <w:t xml:space="preserve">   （二）规范账务处理，提高财务信息质量 。严格按照《会计法》、《行政事业单位会计制度》、《行政事业单位财务规则》等规定执行财务核算，并结合实际情况，完整、准确地披露相关信息，尽可能地做到决算与预算相衔接,完善管理制度，进一步加强资产管理 </w:t>
      </w:r>
    </w:p>
    <w:p>
      <w:pPr>
        <w:rPr>
          <w:rFonts w:ascii="仿宋" w:hAnsi="仿宋" w:eastAsia="仿宋" w:cs="仿宋"/>
          <w:szCs w:val="32"/>
        </w:rPr>
      </w:pPr>
      <w:r>
        <w:rPr>
          <w:rFonts w:hint="eastAsia" w:ascii="仿宋" w:hAnsi="仿宋" w:eastAsia="仿宋" w:cs="仿宋"/>
          <w:sz w:val="32"/>
          <w:szCs w:val="32"/>
        </w:rPr>
        <w:t xml:space="preserve">   （三）进一步贯彻落实中央八项规定和湖南省委“九条规定”，建立本部门“三公经费”等公用支出管理制度及厉行节约制度，加强经费审批和控制，规范支出标准与范围，并严格执行。</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D584A"/>
    <w:multiLevelType w:val="multilevel"/>
    <w:tmpl w:val="089D584A"/>
    <w:lvl w:ilvl="0" w:tentative="0">
      <w:start w:val="8"/>
      <w:numFmt w:val="decimal"/>
      <w:suff w:val="nothing"/>
      <w:lvlText w:val="（%1）"/>
      <w:lvlJc w:val="left"/>
      <w:pPr>
        <w:ind w:left="0" w:firstLine="0"/>
      </w:pPr>
      <w:rPr>
        <w:color w:val="00000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MzAyZTI1OTQxNDA3MzIzMDUxNzljZWY4OTVjM2ZiZTUifQ=="/>
  </w:docVars>
  <w:rsids>
    <w:rsidRoot w:val="004506F9"/>
    <w:rsid w:val="0002229B"/>
    <w:rsid w:val="000273BD"/>
    <w:rsid w:val="000415B7"/>
    <w:rsid w:val="00041E3F"/>
    <w:rsid w:val="0005355A"/>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3D2F29"/>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484B"/>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070E"/>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4689E"/>
    <w:rsid w:val="00F56639"/>
    <w:rsid w:val="00F74360"/>
    <w:rsid w:val="00FB462F"/>
    <w:rsid w:val="00FE16FA"/>
    <w:rsid w:val="00FE328A"/>
    <w:rsid w:val="00FE6269"/>
    <w:rsid w:val="02A61FBE"/>
    <w:rsid w:val="03592F46"/>
    <w:rsid w:val="041603DE"/>
    <w:rsid w:val="043E3789"/>
    <w:rsid w:val="05E426E0"/>
    <w:rsid w:val="06507D75"/>
    <w:rsid w:val="09131139"/>
    <w:rsid w:val="0B560C64"/>
    <w:rsid w:val="0F9E4CA2"/>
    <w:rsid w:val="12A81032"/>
    <w:rsid w:val="13AF2B81"/>
    <w:rsid w:val="16D11376"/>
    <w:rsid w:val="17E92F2A"/>
    <w:rsid w:val="187D78F3"/>
    <w:rsid w:val="18C1445B"/>
    <w:rsid w:val="1B3A0D64"/>
    <w:rsid w:val="1B401B0A"/>
    <w:rsid w:val="1C311D6C"/>
    <w:rsid w:val="20B03493"/>
    <w:rsid w:val="20F54E50"/>
    <w:rsid w:val="213902C3"/>
    <w:rsid w:val="21654E36"/>
    <w:rsid w:val="251747A5"/>
    <w:rsid w:val="261505E0"/>
    <w:rsid w:val="2AD226A3"/>
    <w:rsid w:val="2EC2634C"/>
    <w:rsid w:val="2FC126C3"/>
    <w:rsid w:val="33691363"/>
    <w:rsid w:val="344512A6"/>
    <w:rsid w:val="363273C9"/>
    <w:rsid w:val="36F95C22"/>
    <w:rsid w:val="380D02F4"/>
    <w:rsid w:val="3E0A236D"/>
    <w:rsid w:val="3E5B6309"/>
    <w:rsid w:val="40A44235"/>
    <w:rsid w:val="41C40FBF"/>
    <w:rsid w:val="43C110CD"/>
    <w:rsid w:val="44DC3842"/>
    <w:rsid w:val="45D42B17"/>
    <w:rsid w:val="4606682F"/>
    <w:rsid w:val="46122C64"/>
    <w:rsid w:val="468D793E"/>
    <w:rsid w:val="48BD0E21"/>
    <w:rsid w:val="49780838"/>
    <w:rsid w:val="4C182DAA"/>
    <w:rsid w:val="4D58152C"/>
    <w:rsid w:val="52220A42"/>
    <w:rsid w:val="541539EB"/>
    <w:rsid w:val="55EA4561"/>
    <w:rsid w:val="56225316"/>
    <w:rsid w:val="56286E63"/>
    <w:rsid w:val="571905BF"/>
    <w:rsid w:val="58314757"/>
    <w:rsid w:val="590C0097"/>
    <w:rsid w:val="597C57F4"/>
    <w:rsid w:val="5EBA4361"/>
    <w:rsid w:val="5F793AD5"/>
    <w:rsid w:val="62943FA7"/>
    <w:rsid w:val="62A345F7"/>
    <w:rsid w:val="65F20306"/>
    <w:rsid w:val="662F04E5"/>
    <w:rsid w:val="665047CD"/>
    <w:rsid w:val="6BC74313"/>
    <w:rsid w:val="6DF72B84"/>
    <w:rsid w:val="6E614DC1"/>
    <w:rsid w:val="6F0A210C"/>
    <w:rsid w:val="74040389"/>
    <w:rsid w:val="76D128D9"/>
    <w:rsid w:val="78B33A0C"/>
    <w:rsid w:val="7A1B5A47"/>
    <w:rsid w:val="7A2D0CBC"/>
    <w:rsid w:val="7FB771C7"/>
    <w:rsid w:val="7FBC0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 w:type="character" w:customStyle="1" w:styleId="12">
    <w:name w:val="a1"/>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0DAA5-8C09-4BB9-95B5-1ABF9588C59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3481</Words>
  <Characters>19842</Characters>
  <Lines>165</Lines>
  <Paragraphs>46</Paragraphs>
  <TotalTime>56</TotalTime>
  <ScaleCrop>false</ScaleCrop>
  <LinksUpToDate>false</LinksUpToDate>
  <CharactersWithSpaces>23277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WPS_1687165778</cp:lastModifiedBy>
  <cp:lastPrinted>2021-08-16T01:08:00Z</cp:lastPrinted>
  <dcterms:modified xsi:type="dcterms:W3CDTF">2024-11-14T03:15:36Z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5050BCA23116497FB0B5E985790FDC56</vt:lpwstr>
  </property>
</Properties>
</file>