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jc w:val="center"/>
        <w:rPr>
          <w:sz w:val="56"/>
          <w:szCs w:val="56"/>
        </w:rPr>
      </w:pPr>
    </w:p>
    <w:p>
      <w:pPr>
        <w:pStyle w:val="11"/>
        <w:jc w:val="center"/>
        <w:rPr>
          <w:sz w:val="56"/>
          <w:szCs w:val="56"/>
        </w:rPr>
      </w:pPr>
    </w:p>
    <w:p>
      <w:pPr>
        <w:pStyle w:val="11"/>
        <w:jc w:val="center"/>
        <w:rPr>
          <w:sz w:val="84"/>
          <w:szCs w:val="84"/>
        </w:rPr>
      </w:pPr>
    </w:p>
    <w:p>
      <w:pPr>
        <w:pStyle w:val="11"/>
        <w:jc w:val="center"/>
        <w:rPr>
          <w:sz w:val="84"/>
          <w:szCs w:val="84"/>
        </w:rPr>
      </w:pPr>
    </w:p>
    <w:p>
      <w:pPr>
        <w:pStyle w:val="11"/>
        <w:jc w:val="center"/>
        <w:rPr>
          <w:sz w:val="84"/>
          <w:szCs w:val="84"/>
        </w:rPr>
      </w:pPr>
      <w:r>
        <w:rPr>
          <w:rFonts w:hint="eastAsia"/>
          <w:sz w:val="84"/>
          <w:szCs w:val="84"/>
        </w:rPr>
        <w:t>20</w:t>
      </w:r>
      <w:r>
        <w:rPr>
          <w:rFonts w:hint="eastAsia"/>
          <w:sz w:val="84"/>
          <w:szCs w:val="84"/>
          <w:lang w:val="en-US" w:eastAsia="zh-CN"/>
        </w:rPr>
        <w:t>20</w:t>
      </w:r>
      <w:r>
        <w:rPr>
          <w:rFonts w:hint="eastAsia"/>
          <w:sz w:val="84"/>
          <w:szCs w:val="84"/>
        </w:rPr>
        <w:t>年度</w:t>
      </w:r>
    </w:p>
    <w:p>
      <w:pPr>
        <w:pStyle w:val="11"/>
        <w:jc w:val="center"/>
        <w:rPr>
          <w:sz w:val="84"/>
          <w:szCs w:val="84"/>
        </w:rPr>
      </w:pPr>
      <w:r>
        <w:rPr>
          <w:rFonts w:hint="eastAsia"/>
          <w:sz w:val="84"/>
          <w:szCs w:val="84"/>
          <w:lang w:eastAsia="zh-CN"/>
        </w:rPr>
        <w:t>湘乡市住房和城乡建设局（本级）</w:t>
      </w:r>
      <w:r>
        <w:rPr>
          <w:rFonts w:hint="eastAsia"/>
          <w:sz w:val="84"/>
          <w:szCs w:val="84"/>
        </w:rPr>
        <w:t>部门决算</w:t>
      </w:r>
    </w:p>
    <w:p>
      <w:pPr>
        <w:pStyle w:val="11"/>
        <w:jc w:val="center"/>
        <w:rPr>
          <w:sz w:val="56"/>
          <w:szCs w:val="56"/>
        </w:rPr>
      </w:pPr>
    </w:p>
    <w:p>
      <w:pPr>
        <w:pStyle w:val="11"/>
        <w:jc w:val="center"/>
        <w:rPr>
          <w:sz w:val="56"/>
          <w:szCs w:val="56"/>
        </w:rPr>
      </w:pPr>
    </w:p>
    <w:p>
      <w:pPr>
        <w:pStyle w:val="11"/>
        <w:jc w:val="center"/>
        <w:rPr>
          <w:sz w:val="56"/>
          <w:szCs w:val="56"/>
        </w:rPr>
      </w:pPr>
    </w:p>
    <w:p>
      <w:pPr>
        <w:pStyle w:val="11"/>
        <w:jc w:val="center"/>
        <w:rPr>
          <w:sz w:val="56"/>
          <w:szCs w:val="56"/>
        </w:rPr>
      </w:pPr>
    </w:p>
    <w:p>
      <w:pPr>
        <w:pStyle w:val="11"/>
        <w:keepNext w:val="0"/>
        <w:keepLines w:val="0"/>
        <w:pageBreakBefore w:val="0"/>
        <w:widowControl w:val="0"/>
        <w:kinsoku/>
        <w:wordWrap/>
        <w:overflowPunct/>
        <w:topLinePunct w:val="0"/>
        <w:bidi w:val="0"/>
        <w:snapToGrid/>
        <w:spacing w:line="460" w:lineRule="exact"/>
        <w:jc w:val="center"/>
        <w:textAlignment w:val="auto"/>
        <w:rPr>
          <w:rFonts w:hint="eastAsia"/>
          <w:b/>
          <w:sz w:val="36"/>
          <w:szCs w:val="28"/>
        </w:rPr>
      </w:pPr>
    </w:p>
    <w:p>
      <w:pPr>
        <w:pStyle w:val="11"/>
        <w:keepNext w:val="0"/>
        <w:keepLines w:val="0"/>
        <w:pageBreakBefore w:val="0"/>
        <w:widowControl w:val="0"/>
        <w:kinsoku/>
        <w:wordWrap/>
        <w:overflowPunct/>
        <w:topLinePunct w:val="0"/>
        <w:bidi w:val="0"/>
        <w:snapToGrid/>
        <w:spacing w:line="460" w:lineRule="exact"/>
        <w:jc w:val="center"/>
        <w:textAlignment w:val="auto"/>
        <w:rPr>
          <w:rFonts w:hint="eastAsia"/>
          <w:b/>
          <w:sz w:val="36"/>
          <w:szCs w:val="28"/>
        </w:rPr>
      </w:pPr>
    </w:p>
    <w:p>
      <w:pPr>
        <w:pStyle w:val="11"/>
        <w:keepNext w:val="0"/>
        <w:keepLines w:val="0"/>
        <w:pageBreakBefore w:val="0"/>
        <w:widowControl w:val="0"/>
        <w:kinsoku/>
        <w:wordWrap/>
        <w:overflowPunct/>
        <w:topLinePunct w:val="0"/>
        <w:bidi w:val="0"/>
        <w:snapToGrid/>
        <w:spacing w:line="460" w:lineRule="exact"/>
        <w:jc w:val="center"/>
        <w:textAlignment w:val="auto"/>
        <w:rPr>
          <w:rFonts w:hint="eastAsia"/>
          <w:b/>
          <w:sz w:val="36"/>
          <w:szCs w:val="28"/>
        </w:rPr>
      </w:pPr>
    </w:p>
    <w:p>
      <w:pPr>
        <w:pStyle w:val="11"/>
        <w:keepNext w:val="0"/>
        <w:keepLines w:val="0"/>
        <w:pageBreakBefore w:val="0"/>
        <w:widowControl w:val="0"/>
        <w:kinsoku/>
        <w:wordWrap/>
        <w:overflowPunct/>
        <w:topLinePunct w:val="0"/>
        <w:bidi w:val="0"/>
        <w:snapToGrid/>
        <w:spacing w:line="460" w:lineRule="exact"/>
        <w:jc w:val="center"/>
        <w:textAlignment w:val="auto"/>
        <w:rPr>
          <w:rFonts w:hint="eastAsia"/>
          <w:b/>
          <w:sz w:val="36"/>
          <w:szCs w:val="28"/>
        </w:rPr>
      </w:pPr>
    </w:p>
    <w:p>
      <w:pPr>
        <w:pStyle w:val="11"/>
        <w:keepNext w:val="0"/>
        <w:keepLines w:val="0"/>
        <w:pageBreakBefore w:val="0"/>
        <w:widowControl w:val="0"/>
        <w:kinsoku/>
        <w:wordWrap/>
        <w:overflowPunct/>
        <w:topLinePunct w:val="0"/>
        <w:bidi w:val="0"/>
        <w:snapToGrid/>
        <w:spacing w:line="460" w:lineRule="exact"/>
        <w:jc w:val="center"/>
        <w:textAlignment w:val="auto"/>
        <w:rPr>
          <w:b/>
          <w:sz w:val="36"/>
          <w:szCs w:val="28"/>
        </w:rPr>
      </w:pPr>
      <w:r>
        <w:rPr>
          <w:rFonts w:hint="eastAsia"/>
          <w:b/>
          <w:sz w:val="36"/>
          <w:szCs w:val="28"/>
        </w:rPr>
        <w:t>目录</w:t>
      </w:r>
    </w:p>
    <w:p>
      <w:pPr>
        <w:pStyle w:val="11"/>
        <w:keepNext w:val="0"/>
        <w:keepLines w:val="0"/>
        <w:pageBreakBefore w:val="0"/>
        <w:widowControl w:val="0"/>
        <w:kinsoku/>
        <w:wordWrap/>
        <w:overflowPunct/>
        <w:topLinePunct w:val="0"/>
        <w:bidi w:val="0"/>
        <w:snapToGrid/>
        <w:spacing w:line="460" w:lineRule="exact"/>
        <w:textAlignment w:val="auto"/>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rPr>
        <w:t>单位概况</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1"/>
        <w:keepNext w:val="0"/>
        <w:keepLines w:val="0"/>
        <w:pageBreakBefore w:val="0"/>
        <w:widowControl w:val="0"/>
        <w:kinsoku/>
        <w:wordWrap/>
        <w:overflowPunct/>
        <w:topLinePunct w:val="0"/>
        <w:bidi w:val="0"/>
        <w:snapToGrid/>
        <w:spacing w:line="460" w:lineRule="exact"/>
        <w:textAlignment w:val="auto"/>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20年度部门决算表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1"/>
        <w:keepNext w:val="0"/>
        <w:keepLines w:val="0"/>
        <w:pageBreakBefore w:val="0"/>
        <w:widowControl w:val="0"/>
        <w:kinsoku/>
        <w:wordWrap/>
        <w:overflowPunct/>
        <w:topLinePunct w:val="0"/>
        <w:bidi w:val="0"/>
        <w:snapToGrid/>
        <w:spacing w:line="460" w:lineRule="exact"/>
        <w:textAlignment w:val="auto"/>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Ansi="仿宋_GB2312"/>
          <w:b/>
          <w:sz w:val="28"/>
          <w:szCs w:val="28"/>
        </w:rPr>
        <w:t>20</w:t>
      </w:r>
      <w:r>
        <w:rPr>
          <w:rFonts w:hint="eastAsia" w:hAnsi="仿宋_GB2312"/>
          <w:b/>
          <w:sz w:val="28"/>
          <w:szCs w:val="28"/>
        </w:rPr>
        <w:t>20年度部门决算情况说明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ascii="仿宋_GB2312" w:hAnsi="仿宋_GB2312" w:cs="仿宋_GB2312"/>
          <w:sz w:val="28"/>
          <w:szCs w:val="28"/>
        </w:rPr>
      </w:pPr>
      <w:r>
        <w:rPr>
          <w:rFonts w:ascii="仿宋_GB2312" w:hAnsi="仿宋_GB2312" w:cs="仿宋_GB2312"/>
          <w:sz w:val="28"/>
          <w:szCs w:val="28"/>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1"/>
        <w:keepNext w:val="0"/>
        <w:keepLines w:val="0"/>
        <w:pageBreakBefore w:val="0"/>
        <w:widowControl w:val="0"/>
        <w:kinsoku/>
        <w:wordWrap/>
        <w:overflowPunct/>
        <w:topLinePunct w:val="0"/>
        <w:bidi w:val="0"/>
        <w:snapToGrid/>
        <w:spacing w:line="460" w:lineRule="exact"/>
        <w:ind w:firstLine="700" w:firstLineChars="250"/>
        <w:textAlignment w:val="auto"/>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keepNext w:val="0"/>
        <w:keepLines w:val="0"/>
        <w:pageBreakBefore w:val="0"/>
        <w:widowControl w:val="0"/>
        <w:kinsoku/>
        <w:wordWrap/>
        <w:overflowPunct/>
        <w:topLinePunct w:val="0"/>
        <w:autoSpaceDE w:val="0"/>
        <w:autoSpaceDN w:val="0"/>
        <w:bidi w:val="0"/>
        <w:adjustRightInd w:val="0"/>
        <w:snapToGrid/>
        <w:spacing w:line="460" w:lineRule="exact"/>
        <w:jc w:val="left"/>
        <w:textAlignment w:val="auto"/>
        <w:rPr>
          <w:rFonts w:hint="eastAsia" w:ascii="黑体" w:hAnsi="黑体" w:eastAsia="黑体" w:cs="黑体"/>
          <w:b/>
          <w:color w:val="000000"/>
          <w:kern w:val="0"/>
          <w:sz w:val="28"/>
          <w:szCs w:val="28"/>
        </w:rPr>
      </w:pPr>
      <w:r>
        <w:rPr>
          <w:rFonts w:hint="eastAsia" w:ascii="黑体" w:hAnsi="黑体" w:eastAsia="黑体" w:cs="黑体"/>
          <w:b/>
          <w:color w:val="000000"/>
          <w:kern w:val="0"/>
          <w:sz w:val="28"/>
          <w:szCs w:val="28"/>
        </w:rPr>
        <w:t>第五部分附件</w:t>
      </w:r>
    </w:p>
    <w:p>
      <w:pPr>
        <w:pStyle w:val="2"/>
        <w:rPr>
          <w:rFonts w:hint="eastAsia" w:ascii="黑体" w:hAnsi="黑体" w:eastAsia="黑体" w:cs="黑体"/>
          <w:b/>
          <w:color w:val="000000"/>
          <w:kern w:val="0"/>
          <w:sz w:val="28"/>
          <w:szCs w:val="28"/>
        </w:rPr>
      </w:pPr>
    </w:p>
    <w:p>
      <w:pPr>
        <w:rPr>
          <w:rFonts w:hint="eastAsia" w:ascii="黑体" w:hAnsi="黑体" w:eastAsia="黑体" w:cs="黑体"/>
          <w:b/>
          <w:color w:val="000000"/>
          <w:kern w:val="0"/>
          <w:sz w:val="28"/>
          <w:szCs w:val="28"/>
        </w:rPr>
      </w:pPr>
    </w:p>
    <w:p>
      <w:pPr>
        <w:pStyle w:val="2"/>
        <w:rPr>
          <w:rFonts w:hint="eastAsia" w:ascii="黑体" w:hAnsi="黑体" w:eastAsia="黑体" w:cs="黑体"/>
          <w:b/>
          <w:color w:val="000000"/>
          <w:kern w:val="0"/>
          <w:sz w:val="28"/>
          <w:szCs w:val="28"/>
        </w:rPr>
      </w:pPr>
    </w:p>
    <w:p>
      <w:pPr>
        <w:rPr>
          <w:rFonts w:hint="eastAsia" w:ascii="黑体" w:hAnsi="黑体" w:eastAsia="黑体" w:cs="黑体"/>
          <w:b/>
          <w:color w:val="000000"/>
          <w:kern w:val="0"/>
          <w:sz w:val="28"/>
          <w:szCs w:val="28"/>
        </w:rPr>
      </w:pPr>
    </w:p>
    <w:p>
      <w:pPr>
        <w:pStyle w:val="2"/>
        <w:rPr>
          <w:rFonts w:hint="eastAsia" w:ascii="黑体" w:hAnsi="黑体" w:eastAsia="黑体" w:cs="黑体"/>
          <w:b/>
          <w:color w:val="000000"/>
          <w:kern w:val="0"/>
          <w:sz w:val="28"/>
          <w:szCs w:val="28"/>
        </w:rPr>
      </w:pPr>
    </w:p>
    <w:p>
      <w:pPr>
        <w:rPr>
          <w:rFonts w:hint="eastAsia"/>
        </w:rPr>
      </w:pPr>
    </w:p>
    <w:p/>
    <w:p>
      <w:pPr>
        <w:pStyle w:val="11"/>
        <w:jc w:val="center"/>
        <w:rPr>
          <w:sz w:val="84"/>
          <w:szCs w:val="84"/>
        </w:rPr>
      </w:pPr>
      <w:r>
        <w:rPr>
          <w:rFonts w:hint="eastAsia"/>
          <w:sz w:val="84"/>
          <w:szCs w:val="84"/>
        </w:rPr>
        <w:t>第一部分</w:t>
      </w:r>
      <w:r>
        <w:rPr>
          <w:sz w:val="84"/>
          <w:szCs w:val="84"/>
        </w:rPr>
        <w:t xml:space="preserve"> </w:t>
      </w:r>
    </w:p>
    <w:p>
      <w:pPr>
        <w:pStyle w:val="11"/>
        <w:jc w:val="center"/>
        <w:rPr>
          <w:sz w:val="84"/>
          <w:szCs w:val="84"/>
        </w:rPr>
      </w:pPr>
    </w:p>
    <w:p>
      <w:pPr>
        <w:pStyle w:val="11"/>
        <w:jc w:val="center"/>
        <w:rPr>
          <w:sz w:val="84"/>
          <w:szCs w:val="84"/>
        </w:rPr>
      </w:pPr>
      <w:r>
        <w:rPr>
          <w:rFonts w:hint="eastAsia"/>
          <w:sz w:val="84"/>
          <w:szCs w:val="84"/>
          <w:lang w:eastAsia="zh-CN"/>
        </w:rPr>
        <w:t>湘乡市住房和城乡建设局（本级）</w:t>
      </w:r>
      <w:r>
        <w:rPr>
          <w:rFonts w:hint="eastAsia"/>
          <w:sz w:val="84"/>
          <w:szCs w:val="84"/>
        </w:rPr>
        <w:t>概况</w:t>
      </w:r>
    </w:p>
    <w:p>
      <w:pPr>
        <w:pStyle w:val="12"/>
        <w:numPr>
          <w:ilvl w:val="0"/>
          <w:numId w:val="0"/>
        </w:numPr>
        <w:ind w:leftChars="0"/>
        <w:jc w:val="left"/>
        <w:rPr>
          <w:rFonts w:ascii="黑体" w:hAnsi="黑体" w:eastAsia="黑体"/>
          <w:sz w:val="32"/>
          <w:szCs w:val="32"/>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hint="eastAsia" w:ascii="黑体" w:hAnsi="黑体" w:eastAsia="黑体"/>
          <w:sz w:val="32"/>
          <w:szCs w:val="32"/>
          <w:lang w:eastAsia="zh-CN"/>
        </w:rPr>
      </w:pPr>
    </w:p>
    <w:p>
      <w:pPr>
        <w:pStyle w:val="12"/>
        <w:numPr>
          <w:ilvl w:val="0"/>
          <w:numId w:val="0"/>
        </w:numPr>
        <w:ind w:leftChars="0"/>
        <w:jc w:val="left"/>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ind w:firstLine="640" w:firstLineChars="200"/>
        <w:jc w:val="left"/>
        <w:rPr>
          <w:rFonts w:hint="eastAsia" w:ascii="仿宋" w:hAnsi="仿宋" w:eastAsia="仿宋" w:cs="仿宋"/>
          <w:sz w:val="32"/>
          <w:szCs w:val="32"/>
        </w:rPr>
      </w:pPr>
      <w:r>
        <w:rPr>
          <w:rFonts w:hint="eastAsia" w:ascii="仿宋" w:hAnsi="仿宋" w:eastAsia="仿宋" w:cs="仿宋"/>
          <w:sz w:val="32"/>
          <w:szCs w:val="32"/>
        </w:rPr>
        <w:t>（一）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（二）加快建立全市多主体供给、多渠道保障、租购并举的住房制度，拟订全市住房建设规划并指导实施，培育和完善房产市场。</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三）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四）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五）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六）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七）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（八）承担全市建设工程勘察设计、建筑设计市场管理的工作。负责全市建设工程勘察、设计及建筑装饰设计等行业资质管理工作；负责各类建设项目初步设计审批；指导、检查全市勘察设计行业的工作。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九）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（十一）承担推进全市建筑节能与建设科技进步的工作。拟订全市建筑节能政策建议及组织实施；制定建设行业科技发展规划；组织重大科技项目攻关和新技术开发利用；管理行业科技成果。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（十二）负责指导全市城建档案的管理指导监督、管理全市建设工程竣工档案工作；审查、认证、验收工程竣工档案，负责城市建设档案的收集、整理及城建档案信息的开发、利用。</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三）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四）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五）负责全市墙体材料、散装水泥的推广应用工作，编制我市推广应用新墙材、散装水泥的中长期规划和年度计划并监督实施；负责墙体改革和散装水泥推广应用方面的信息交流、职工培训、宣传教育和统计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（十六）贯彻执行国家、省、湘潭市关于人民防空工作的方针政策和法律法规，组织拟订全市人民防空工作的基本战备方案，组织编制全市人民防空建设中长期发展规划和年度工作计划，经批准后组织实施。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（十七）制定和组织实施城市防空袭方案和各项保障方案、群众防空组织（人民防空专业队）建设和训练、防空防灾演习演练、疏散体系建设，协助军事部门组织指导城市防卫建设。</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（十八）战时组织开展城市人民防空袭斗争，组织指挥人民防空疏散和隐蔽，依法组织实施灯火管制和发放防空袭警报，配合要地防空和城市防卫作战，组织有关部门恢复生产和生活秩序，消除空袭后果。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（十九）组织管理人民防空通信警报和信息化建设。对人民防空通信警报网和信息化建设实施计划、技术和质量管理，负责保障全市人民防空通信警报畅通。负责对全市人民防空无线电进行管理。</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（二十）会同有关部门组织开展人民防空宣传教育工作，普及人民防空知识和技能。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（二十一）管理人民防空经费和资产，负责编制市本级人民防空经费预决算，并对使用情况实施监督检查。</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（二十二）承担市人民政府赋予的应急救援任务，利用人防设施和人民防空专业队伍为应急救援服务。</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（二十三）指导相关行业协会的工作。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（二十四）负责国有土地上房屋征收管理行政职能。</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（二十五）负责全市建设工程消防设计审查验收工作。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（二十六）负责全市在建工程项目起重机械设备监管工作。</w:t>
      </w:r>
    </w:p>
    <w:p>
      <w:pPr>
        <w:ind w:firstLine="800" w:firstLineChars="250"/>
        <w:jc w:val="left"/>
        <w:rPr>
          <w:rFonts w:hint="eastAsia" w:ascii="仿宋" w:hAnsi="仿宋" w:eastAsia="仿宋" w:cs="仿宋"/>
          <w:sz w:val="32"/>
          <w:szCs w:val="32"/>
        </w:rPr>
      </w:pPr>
      <w:r>
        <w:rPr>
          <w:rFonts w:hint="eastAsia" w:ascii="仿宋" w:hAnsi="仿宋" w:eastAsia="仿宋" w:cs="仿宋"/>
          <w:sz w:val="32"/>
          <w:szCs w:val="32"/>
        </w:rPr>
        <w:t>（二十七）承办上级交办的其他事项。</w:t>
      </w:r>
    </w:p>
    <w:p>
      <w:pPr>
        <w:jc w:val="left"/>
        <w:rPr>
          <w:rFonts w:hint="eastAsia" w:ascii="黑体" w:hAnsi="黑体" w:eastAsia="黑体"/>
          <w:bCs/>
          <w:kern w:val="0"/>
          <w:sz w:val="32"/>
          <w:szCs w:val="32"/>
        </w:rPr>
      </w:pPr>
      <w:r>
        <w:rPr>
          <w:rFonts w:hint="eastAsia" w:ascii="黑体" w:hAnsi="黑体" w:eastAsia="黑体"/>
          <w:bCs/>
          <w:kern w:val="0"/>
          <w:sz w:val="32"/>
          <w:szCs w:val="32"/>
          <w:lang w:eastAsia="zh-CN"/>
        </w:rPr>
        <w:t>二、</w:t>
      </w:r>
      <w:r>
        <w:rPr>
          <w:rFonts w:hint="eastAsia" w:ascii="黑体" w:hAnsi="黑体" w:eastAsia="黑体"/>
          <w:bCs/>
          <w:kern w:val="0"/>
          <w:sz w:val="32"/>
          <w:szCs w:val="32"/>
        </w:rPr>
        <w:t>机构设置及决算单位构成</w:t>
      </w:r>
    </w:p>
    <w:p>
      <w:pPr>
        <w:numPr>
          <w:ilvl w:val="0"/>
          <w:numId w:val="0"/>
        </w:numPr>
        <w:ind w:firstLine="643" w:firstLineChars="200"/>
        <w:jc w:val="left"/>
        <w:rPr>
          <w:rFonts w:ascii="仿宋_GB2312" w:eastAsia="仿宋_GB2312" w:hAnsiTheme="minorEastAsia"/>
          <w:sz w:val="28"/>
          <w:szCs w:val="32"/>
        </w:rPr>
      </w:pPr>
      <w:r>
        <w:rPr>
          <w:rFonts w:hint="eastAsia" w:ascii="楷体" w:hAnsi="楷体" w:eastAsia="楷体" w:cs="楷体"/>
          <w:b/>
          <w:bCs/>
          <w:sz w:val="32"/>
          <w:szCs w:val="32"/>
          <w:lang w:eastAsia="zh-CN"/>
        </w:rPr>
        <w:t>（一）内设机构设置。</w:t>
      </w:r>
      <w:r>
        <w:rPr>
          <w:rFonts w:hint="eastAsia" w:ascii="仿宋" w:hAnsi="仿宋" w:eastAsia="仿宋" w:cs="仿宋"/>
          <w:sz w:val="32"/>
          <w:szCs w:val="32"/>
        </w:rPr>
        <w:t>现</w:t>
      </w:r>
      <w:r>
        <w:rPr>
          <w:rFonts w:hint="eastAsia" w:ascii="仿宋" w:hAnsi="仿宋" w:eastAsia="仿宋" w:cs="仿宋"/>
          <w:sz w:val="32"/>
          <w:szCs w:val="32"/>
          <w:lang w:eastAsia="zh-CN"/>
        </w:rPr>
        <w:t>内</w:t>
      </w:r>
      <w:r>
        <w:rPr>
          <w:rFonts w:hint="eastAsia" w:ascii="仿宋" w:hAnsi="仿宋" w:eastAsia="仿宋" w:cs="仿宋"/>
          <w:sz w:val="32"/>
          <w:szCs w:val="32"/>
        </w:rPr>
        <w:t>设机构有办公室、法规股、审批服务股、住房保障股城市排水管理股、建筑工程管理股房产综合开发管理股、质量安全管理股城市村镇建设管理股、人防工程建设管理股、指挥通信股物业管理股、建设工程招标投标管理股、科技设计管理股（造价管理站）财务股、党建办公室、人事股。</w:t>
      </w:r>
    </w:p>
    <w:p>
      <w:pPr>
        <w:widowControl/>
        <w:spacing w:line="600" w:lineRule="exact"/>
        <w:ind w:firstLine="643" w:firstLineChars="200"/>
        <w:rPr>
          <w:rFonts w:hint="eastAsia" w:ascii="仿宋" w:hAnsi="仿宋" w:eastAsia="仿宋" w:cs="仿宋"/>
          <w:bCs/>
          <w:kern w:val="0"/>
          <w:sz w:val="32"/>
          <w:szCs w:val="32"/>
        </w:rPr>
      </w:pPr>
      <w:r>
        <w:rPr>
          <w:rFonts w:hint="eastAsia" w:ascii="楷体" w:hAnsi="楷体" w:eastAsia="楷体" w:cs="楷体"/>
          <w:b/>
          <w:bCs w:val="0"/>
          <w:kern w:val="0"/>
          <w:sz w:val="32"/>
          <w:szCs w:val="32"/>
        </w:rPr>
        <w:t>（二）决算单位构成。</w:t>
      </w:r>
      <w:r>
        <w:rPr>
          <w:rFonts w:hint="eastAsia" w:ascii="仿宋" w:hAnsi="仿宋" w:eastAsia="仿宋" w:cs="仿宋"/>
          <w:bCs/>
          <w:kern w:val="0"/>
          <w:sz w:val="32"/>
          <w:szCs w:val="32"/>
          <w:lang w:eastAsia="zh-CN"/>
        </w:rPr>
        <w:t>湘乡市住房和城乡建设局（本级）</w:t>
      </w:r>
      <w:r>
        <w:rPr>
          <w:rFonts w:hint="eastAsia" w:ascii="仿宋" w:hAnsi="仿宋" w:eastAsia="仿宋" w:cs="仿宋"/>
          <w:bCs/>
          <w:kern w:val="0"/>
          <w:sz w:val="32"/>
          <w:szCs w:val="32"/>
        </w:rPr>
        <w:t>为湘乡市住房和城乡建设局所属2级预算单位，单位性质为行政单位，决算编报类型为单户表，按照政府会计制度填报决算数据。</w:t>
      </w:r>
    </w:p>
    <w:p>
      <w:pPr>
        <w:widowControl/>
        <w:spacing w:line="600" w:lineRule="exact"/>
        <w:ind w:firstLine="640" w:firstLineChars="200"/>
        <w:rPr>
          <w:rFonts w:hint="eastAsia" w:ascii="黑体" w:hAnsi="黑体" w:eastAsia="黑体" w:cs="黑体"/>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Cs/>
          <w:kern w:val="0"/>
          <w:sz w:val="32"/>
          <w:szCs w:val="32"/>
        </w:rPr>
        <w:t>纳入本套决算编制范围的独立核算单位共1个，比上年增减0个。</w:t>
      </w:r>
    </w:p>
    <w:p>
      <w:pPr>
        <w:pStyle w:val="2"/>
        <w:ind w:left="0" w:leftChars="0" w:firstLine="0" w:firstLineChars="0"/>
        <w:rPr>
          <w:sz w:val="72"/>
          <w:szCs w:val="72"/>
        </w:rPr>
      </w:pPr>
    </w:p>
    <w:p>
      <w:pPr>
        <w:rPr>
          <w:sz w:val="72"/>
          <w:szCs w:val="72"/>
        </w:rPr>
      </w:pPr>
    </w:p>
    <w:p>
      <w:pPr>
        <w:pStyle w:val="2"/>
        <w:rPr>
          <w:sz w:val="72"/>
          <w:szCs w:val="72"/>
        </w:rPr>
      </w:pPr>
    </w:p>
    <w:p>
      <w:pPr>
        <w:rPr>
          <w:sz w:val="72"/>
          <w:szCs w:val="72"/>
        </w:rPr>
      </w:pPr>
    </w:p>
    <w:p>
      <w:pPr>
        <w:pStyle w:val="2"/>
      </w:pPr>
    </w:p>
    <w:p>
      <w:pPr>
        <w:jc w:val="center"/>
        <w:rPr>
          <w:rFonts w:hint="eastAsia" w:ascii="黑体" w:hAnsi="黑体" w:eastAsia="黑体" w:cs="黑体"/>
          <w:sz w:val="72"/>
          <w:szCs w:val="72"/>
        </w:rPr>
      </w:pPr>
      <w:r>
        <w:rPr>
          <w:rFonts w:hint="eastAsia" w:ascii="黑体" w:hAnsi="黑体" w:eastAsia="黑体" w:cs="黑体"/>
          <w:sz w:val="72"/>
          <w:szCs w:val="72"/>
        </w:rPr>
        <w:t>第二部分</w:t>
      </w:r>
    </w:p>
    <w:p>
      <w:pPr>
        <w:jc w:val="center"/>
        <w:rPr>
          <w:rFonts w:hint="eastAsia" w:ascii="黑体" w:hAnsi="黑体" w:eastAsia="黑体" w:cs="黑体"/>
          <w:sz w:val="72"/>
          <w:szCs w:val="72"/>
        </w:rPr>
      </w:pPr>
    </w:p>
    <w:p>
      <w:pPr>
        <w:jc w:val="center"/>
        <w:rPr>
          <w:rFonts w:hint="eastAsia" w:ascii="黑体" w:hAnsi="黑体" w:eastAsia="黑体" w:cs="黑体"/>
          <w:sz w:val="72"/>
          <w:szCs w:val="72"/>
        </w:rPr>
      </w:pPr>
      <w:r>
        <w:rPr>
          <w:rFonts w:hint="eastAsia" w:ascii="黑体" w:hAnsi="黑体" w:eastAsia="黑体" w:cs="黑体"/>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7"/>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3958.08</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185.30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79.09</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三、节能环保支出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173</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3370.83</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99.98</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六、抗疫特别国债安排的支出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50</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04"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4"/>
                <w:szCs w:val="24"/>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30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4088.08</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3958.21</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730.11</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859.98</w:t>
            </w: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b/>
                <w:bCs/>
                <w:kern w:val="0"/>
                <w:sz w:val="22"/>
                <w:lang w:val="en-US" w:eastAsia="zh-CN"/>
              </w:rPr>
              <w:t>4818.19</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b/>
                <w:bCs/>
                <w:kern w:val="0"/>
                <w:sz w:val="22"/>
                <w:lang w:val="en-US" w:eastAsia="zh-CN"/>
              </w:rPr>
              <w:t>4818.19</w:t>
            </w: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5176" w:type="dxa"/>
        <w:tblInd w:w="0" w:type="dxa"/>
        <w:tblLayout w:type="fixed"/>
        <w:tblCellMar>
          <w:top w:w="0" w:type="dxa"/>
          <w:left w:w="0" w:type="dxa"/>
          <w:bottom w:w="0" w:type="dxa"/>
          <w:right w:w="0" w:type="dxa"/>
        </w:tblCellMar>
      </w:tblPr>
      <w:tblGrid>
        <w:gridCol w:w="400"/>
        <w:gridCol w:w="732"/>
        <w:gridCol w:w="2952"/>
        <w:gridCol w:w="1704"/>
        <w:gridCol w:w="1440"/>
        <w:gridCol w:w="1356"/>
        <w:gridCol w:w="1068"/>
        <w:gridCol w:w="1250"/>
        <w:gridCol w:w="1766"/>
        <w:gridCol w:w="2508"/>
      </w:tblGrid>
      <w:tr>
        <w:tblPrEx>
          <w:tblCellMar>
            <w:top w:w="0" w:type="dxa"/>
            <w:left w:w="0" w:type="dxa"/>
            <w:bottom w:w="0" w:type="dxa"/>
            <w:right w:w="0" w:type="dxa"/>
          </w:tblCellMar>
        </w:tblPrEx>
        <w:trPr>
          <w:trHeight w:val="435" w:hRule="atLeast"/>
        </w:trPr>
        <w:tc>
          <w:tcPr>
            <w:tcW w:w="15176"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639" w:hRule="atLeast"/>
        </w:trPr>
        <w:tc>
          <w:tcPr>
            <w:tcW w:w="40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7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95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6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0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90" w:hRule="atLeast"/>
        </w:trPr>
        <w:tc>
          <w:tcPr>
            <w:tcW w:w="4084"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sz w:val="24"/>
                <w:szCs w:val="24"/>
              </w:rPr>
            </w:pPr>
            <w:r>
              <w:rPr>
                <w:rFonts w:hint="eastAsia"/>
                <w:color w:val="000000"/>
                <w:sz w:val="20"/>
                <w:szCs w:val="20"/>
              </w:rPr>
              <w:t>部门：</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r>
              <w:rPr>
                <w:rFonts w:hint="eastAsia"/>
              </w:rPr>
              <w:t>　</w:t>
            </w:r>
          </w:p>
        </w:tc>
        <w:tc>
          <w:tcPr>
            <w:tcW w:w="17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6"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06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5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6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0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4084"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35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06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2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76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50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113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952"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7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5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6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0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32"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95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4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5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6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50"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6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0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408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4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35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06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2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76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5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4084"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208</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b/>
                <w:bCs/>
              </w:rPr>
            </w:pPr>
            <w:r>
              <w:rPr>
                <w:rFonts w:hint="eastAsia" w:ascii="宋体" w:hAnsi="宋体" w:eastAsia="宋体" w:cs="宋体"/>
                <w:b/>
                <w:bCs/>
                <w:i w:val="0"/>
                <w:iCs w:val="0"/>
                <w:color w:val="000000"/>
                <w:kern w:val="0"/>
                <w:sz w:val="22"/>
                <w:szCs w:val="22"/>
                <w:u w:val="none"/>
                <w:lang w:val="en-US" w:eastAsia="zh-CN" w:bidi="ar"/>
              </w:rPr>
              <w:t>4,088.08</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b/>
                <w:bCs/>
              </w:rPr>
            </w:pPr>
            <w:r>
              <w:rPr>
                <w:rFonts w:hint="eastAsia" w:ascii="宋体" w:hAnsi="宋体" w:eastAsia="宋体" w:cs="宋体"/>
                <w:b/>
                <w:bCs/>
                <w:i w:val="0"/>
                <w:iCs w:val="0"/>
                <w:color w:val="000000"/>
                <w:kern w:val="0"/>
                <w:sz w:val="22"/>
                <w:szCs w:val="22"/>
                <w:u w:val="none"/>
                <w:lang w:val="en-US" w:eastAsia="zh-CN" w:bidi="ar"/>
              </w:rPr>
              <w:t>4,058.08</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b/>
                <w:bCs/>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b/>
                <w:bCs/>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b/>
                <w:bCs/>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b/>
                <w:bCs/>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宋体"/>
                <w:b/>
                <w:bCs/>
                <w:lang w:val="en-US" w:eastAsia="zh-CN"/>
              </w:rPr>
            </w:pPr>
            <w:r>
              <w:rPr>
                <w:rFonts w:hint="eastAsia"/>
                <w:b/>
                <w:bCs/>
                <w:lang w:val="en-US" w:eastAsia="zh-CN"/>
              </w:rPr>
              <w:t>30.00</w:t>
            </w: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185.30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185.30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158.37</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158.37</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2080505</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0.19</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0.19</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20899</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158.18</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158.18</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2089901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26.94</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26.94</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210</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卫生健康支出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26.94</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26.94</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行政事业单位医疗</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79.09</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79.09</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79.09</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79.09</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89"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节能环保支出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79.09</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79.09</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21103</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污染防治</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173.00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173.00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2110302</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水体</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173.00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173.00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173.00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173.00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30.00</w:t>
            </w: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城乡社区管理事务</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3500.70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3470.70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30.00</w:t>
            </w: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2120101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1913.17</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1883.17</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2120102</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1551.24</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1551.24</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2120103</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80.00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2120106</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工程建设管理</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50.00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2120109</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住宅建设与房地产市场监管</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59.33</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59.33</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2120199</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104.60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104.60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default"/>
                <w:lang w:val="en-US"/>
              </w:rPr>
            </w:pPr>
            <w:r>
              <w:rPr>
                <w:rFonts w:hint="eastAsia" w:ascii="宋体" w:hAnsi="宋体" w:eastAsia="宋体" w:cs="宋体"/>
                <w:i w:val="0"/>
                <w:iCs w:val="0"/>
                <w:color w:val="000000"/>
                <w:kern w:val="0"/>
                <w:sz w:val="22"/>
                <w:szCs w:val="22"/>
                <w:u w:val="none"/>
                <w:lang w:val="en-US" w:eastAsia="zh-CN" w:bidi="ar"/>
              </w:rPr>
              <w:t>30.00</w:t>
            </w: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21202</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68.00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38.00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2120201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城乡社区规划与管理</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4"/>
                <w:szCs w:val="24"/>
              </w:rPr>
            </w:pPr>
            <w:r>
              <w:rPr>
                <w:rFonts w:hint="eastAsia" w:ascii="宋体" w:hAnsi="宋体" w:eastAsia="宋体" w:cs="宋体"/>
                <w:i w:val="0"/>
                <w:iCs w:val="0"/>
                <w:color w:val="000000"/>
                <w:kern w:val="0"/>
                <w:sz w:val="22"/>
                <w:szCs w:val="22"/>
                <w:u w:val="none"/>
                <w:lang w:val="en-US" w:eastAsia="zh-CN" w:bidi="ar"/>
              </w:rPr>
              <w:t>40.00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40.00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21203</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城乡社区公共设施</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40.00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40.00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2120303</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1129.63</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1129.63</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2120399</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其他城乡社区公共设施支出</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635.00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635.00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21206</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建设市场管理与监督</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494.63</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494.63</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2120601</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both"/>
              <w:textAlignment w:val="center"/>
              <w:rPr>
                <w:rFonts w:hint="eastAsia"/>
              </w:rPr>
            </w:pPr>
            <w:r>
              <w:rPr>
                <w:rFonts w:hint="eastAsia" w:ascii="宋体" w:hAnsi="宋体" w:eastAsia="宋体" w:cs="宋体"/>
                <w:i w:val="0"/>
                <w:iCs w:val="0"/>
                <w:color w:val="000000"/>
                <w:kern w:val="0"/>
                <w:sz w:val="22"/>
                <w:szCs w:val="22"/>
                <w:u w:val="none"/>
                <w:lang w:val="en-US" w:eastAsia="zh-CN" w:bidi="ar"/>
              </w:rPr>
              <w:t xml:space="preserve">  建设市场管理与监督</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158.40</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158.40</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rPr>
              <w:t>　</w:t>
            </w: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rPr>
              <w:t>　</w:t>
            </w: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p>
            <w:pPr>
              <w:jc w:val="right"/>
              <w:rPr>
                <w:rFonts w:ascii="宋体" w:hAnsi="宋体" w:eastAsia="宋体" w:cs="宋体"/>
                <w:sz w:val="24"/>
                <w:szCs w:val="24"/>
              </w:rPr>
            </w:pPr>
            <w:r>
              <w:rPr>
                <w:rFonts w:hint="eastAsia"/>
              </w:rPr>
              <w:t>　</w:t>
            </w: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eastAsia"/>
              </w:rPr>
            </w:pP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eastAsia"/>
              </w:rPr>
            </w:pP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450" w:hRule="atLeast"/>
        </w:trPr>
        <w:tc>
          <w:tcPr>
            <w:tcW w:w="1132"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eastAsia"/>
              </w:rPr>
            </w:pPr>
          </w:p>
        </w:tc>
        <w:tc>
          <w:tcPr>
            <w:tcW w:w="295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both"/>
              <w:rPr>
                <w:rFonts w:hint="eastAsia"/>
              </w:rPr>
            </w:pPr>
          </w:p>
        </w:tc>
        <w:tc>
          <w:tcPr>
            <w:tcW w:w="17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4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3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06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25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176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c>
          <w:tcPr>
            <w:tcW w:w="250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p>
        </w:tc>
      </w:tr>
      <w:tr>
        <w:tblPrEx>
          <w:tblCellMar>
            <w:top w:w="0" w:type="dxa"/>
            <w:left w:w="0" w:type="dxa"/>
            <w:bottom w:w="0" w:type="dxa"/>
            <w:right w:w="0" w:type="dxa"/>
          </w:tblCellMar>
        </w:tblPrEx>
        <w:trPr>
          <w:trHeight w:val="615" w:hRule="atLeast"/>
        </w:trPr>
        <w:tc>
          <w:tcPr>
            <w:tcW w:w="15176"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r>
        <w:tblPrEx>
          <w:tblCellMar>
            <w:top w:w="0" w:type="dxa"/>
            <w:left w:w="0" w:type="dxa"/>
            <w:bottom w:w="0" w:type="dxa"/>
            <w:right w:w="0" w:type="dxa"/>
          </w:tblCellMar>
        </w:tblPrEx>
        <w:trPr>
          <w:trHeight w:val="615" w:hRule="atLeast"/>
        </w:trPr>
        <w:tc>
          <w:tcPr>
            <w:tcW w:w="15176"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r>
    </w:tbl>
    <w:p>
      <w:pPr>
        <w:widowControl/>
        <w:jc w:val="left"/>
        <w:rPr>
          <w:rFonts w:ascii="Times New Roman" w:hAnsi="Times New Roman" w:eastAsia="黑体" w:cs="Times New Roman"/>
          <w:bCs/>
          <w:kern w:val="0"/>
          <w:sz w:val="32"/>
          <w:szCs w:val="32"/>
        </w:rPr>
      </w:pPr>
    </w:p>
    <w:p>
      <w:pPr>
        <w:widowControl/>
        <w:rPr>
          <w:rFonts w:ascii="Times New Roman" w:hAnsi="Times New Roman" w:eastAsia="方正小标宋_GBK" w:cs="Times New Roman"/>
          <w:color w:val="000000"/>
          <w:kern w:val="0"/>
          <w:sz w:val="36"/>
          <w:szCs w:val="36"/>
        </w:rPr>
      </w:pPr>
    </w:p>
    <w:tbl>
      <w:tblPr>
        <w:tblStyle w:val="7"/>
        <w:tblW w:w="15240" w:type="dxa"/>
        <w:tblInd w:w="93" w:type="dxa"/>
        <w:tblLayout w:type="fixed"/>
        <w:tblCellMar>
          <w:top w:w="0" w:type="dxa"/>
          <w:left w:w="108" w:type="dxa"/>
          <w:bottom w:w="0" w:type="dxa"/>
          <w:right w:w="108" w:type="dxa"/>
        </w:tblCellMar>
      </w:tblPr>
      <w:tblGrid>
        <w:gridCol w:w="1204"/>
        <w:gridCol w:w="277"/>
        <w:gridCol w:w="4031"/>
        <w:gridCol w:w="1500"/>
        <w:gridCol w:w="1296"/>
        <w:gridCol w:w="1084"/>
        <w:gridCol w:w="2025"/>
        <w:gridCol w:w="1803"/>
        <w:gridCol w:w="2020"/>
      </w:tblGrid>
      <w:tr>
        <w:tblPrEx>
          <w:tblCellMar>
            <w:top w:w="0" w:type="dxa"/>
            <w:left w:w="108" w:type="dxa"/>
            <w:bottom w:w="0" w:type="dxa"/>
            <w:right w:w="108" w:type="dxa"/>
          </w:tblCellMar>
        </w:tblPrEx>
        <w:trPr>
          <w:trHeight w:val="649" w:hRule="atLeast"/>
        </w:trPr>
        <w:tc>
          <w:tcPr>
            <w:tcW w:w="152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324" w:hRule="atLeast"/>
        </w:trPr>
        <w:tc>
          <w:tcPr>
            <w:tcW w:w="120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3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8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324" w:hRule="atLeast"/>
        </w:trPr>
        <w:tc>
          <w:tcPr>
            <w:tcW w:w="5512"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kern w:val="0"/>
                <w:sz w:val="24"/>
                <w:szCs w:val="24"/>
              </w:rPr>
              <w:t>　</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p>
        </w:tc>
        <w:tc>
          <w:tcPr>
            <w:tcW w:w="15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84"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2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78" w:hRule="atLeast"/>
        </w:trPr>
        <w:tc>
          <w:tcPr>
            <w:tcW w:w="5512"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29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08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202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80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02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78" w:hRule="atLeast"/>
        </w:trPr>
        <w:tc>
          <w:tcPr>
            <w:tcW w:w="148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403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0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403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2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0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551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5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29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08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2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80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02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78" w:hRule="atLeast"/>
        </w:trPr>
        <w:tc>
          <w:tcPr>
            <w:tcW w:w="551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3958.21</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2336.04</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bCs/>
                <w:i w:val="0"/>
                <w:iCs w:val="0"/>
                <w:color w:val="000000"/>
                <w:kern w:val="0"/>
                <w:sz w:val="22"/>
                <w:szCs w:val="22"/>
                <w:u w:val="none"/>
                <w:lang w:val="en-US" w:eastAsia="zh-CN" w:bidi="ar"/>
              </w:rPr>
              <w:t>1622.17</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185.30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185.30</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158.37</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158.37</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0.19</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0.19</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27"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158.18</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158.18</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26.94</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26.94</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659"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2089901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26.94</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26.94</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79.09</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79.09</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79.09</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79.09</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79.09</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79.09</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173.00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173.00</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21103</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污染防治</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173.00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173.00</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2110302</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水体</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173.00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173.00</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3370.84</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1971.67</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1399.17</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城乡社区管理事务</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1835.94</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1613.76</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222.18</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1551.24</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1551.24</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2120102</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79.64</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79.64</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2120103</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2120106</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工程建设管理</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59.33</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59.33</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59"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2120109</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住宅建设与房地产市场监管</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57.73</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57.73</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59"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2120199</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38.00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12.52</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25.48</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21202</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40.00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40.00</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2120201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城乡社区规划与管理</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40.00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40.00</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21203</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城乡社区公共设施</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1126.99</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1126.99</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2120303</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632.36</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632.36</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59"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2120399</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其他城乡社区公共设施支出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494.63</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494.63</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21206</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建设市场管理与监督</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158.40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158.40</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2120601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建设市场管理与监督</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158.40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158.40</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59"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21213</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城市基础设施配套费安排的支出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2121302</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城市环境卫生</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159.50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159.50</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2129901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159.50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159.50</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99.98</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99.98</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99.98</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99.98</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99.98</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99.98</w:t>
            </w: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234</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478"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23401</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基础设施建设</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59" w:hRule="atLeast"/>
        </w:trPr>
        <w:tc>
          <w:tcPr>
            <w:tcW w:w="1481"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2340102</w:t>
            </w:r>
          </w:p>
        </w:tc>
        <w:tc>
          <w:tcPr>
            <w:tcW w:w="4031"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重大疫情防控救治体系建设</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12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p>
        </w:tc>
        <w:tc>
          <w:tcPr>
            <w:tcW w:w="10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val="0"/>
                <w:bCs w:val="0"/>
                <w:kern w:val="0"/>
                <w:sz w:val="24"/>
                <w:szCs w:val="24"/>
              </w:rPr>
            </w:pPr>
            <w:r>
              <w:rPr>
                <w:rFonts w:hint="eastAsia" w:ascii="宋体" w:hAnsi="宋体" w:eastAsia="宋体" w:cs="宋体"/>
                <w:b w:val="0"/>
                <w:bCs w:val="0"/>
                <w:i w:val="0"/>
                <w:iCs w:val="0"/>
                <w:color w:val="000000"/>
                <w:kern w:val="0"/>
                <w:sz w:val="22"/>
                <w:szCs w:val="22"/>
                <w:u w:val="none"/>
                <w:lang w:val="en-US" w:eastAsia="zh-CN" w:bidi="ar"/>
              </w:rPr>
              <w:t>50.00</w:t>
            </w:r>
          </w:p>
        </w:tc>
        <w:tc>
          <w:tcPr>
            <w:tcW w:w="202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1803"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c>
          <w:tcPr>
            <w:tcW w:w="202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p>
        </w:tc>
      </w:tr>
      <w:tr>
        <w:tblPrEx>
          <w:tblCellMar>
            <w:top w:w="0" w:type="dxa"/>
            <w:left w:w="108" w:type="dxa"/>
            <w:bottom w:w="0" w:type="dxa"/>
            <w:right w:w="108" w:type="dxa"/>
          </w:tblCellMar>
        </w:tblPrEx>
        <w:trPr>
          <w:trHeight w:val="666" w:hRule="atLeast"/>
        </w:trPr>
        <w:tc>
          <w:tcPr>
            <w:tcW w:w="152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p>
      <w:pPr>
        <w:widowControl/>
        <w:jc w:val="both"/>
        <w:rPr>
          <w:rFonts w:ascii="Times New Roman" w:hAnsi="Times New Roman" w:eastAsia="方正小标宋_GBK" w:cs="Times New Roman"/>
          <w:color w:val="000000"/>
          <w:kern w:val="0"/>
          <w:sz w:val="36"/>
          <w:szCs w:val="21"/>
        </w:rPr>
      </w:pPr>
    </w:p>
    <w:tbl>
      <w:tblPr>
        <w:tblStyle w:val="7"/>
        <w:tblW w:w="15435" w:type="dxa"/>
        <w:tblInd w:w="93" w:type="dxa"/>
        <w:tblLayout w:type="fixed"/>
        <w:tblCellMar>
          <w:top w:w="0" w:type="dxa"/>
          <w:left w:w="108" w:type="dxa"/>
          <w:bottom w:w="0" w:type="dxa"/>
          <w:right w:w="108" w:type="dxa"/>
        </w:tblCellMar>
      </w:tblPr>
      <w:tblGrid>
        <w:gridCol w:w="3572"/>
        <w:gridCol w:w="572"/>
        <w:gridCol w:w="1368"/>
        <w:gridCol w:w="74"/>
        <w:gridCol w:w="3058"/>
        <w:gridCol w:w="466"/>
        <w:gridCol w:w="240"/>
        <w:gridCol w:w="1754"/>
        <w:gridCol w:w="1384"/>
        <w:gridCol w:w="1384"/>
        <w:gridCol w:w="1563"/>
      </w:tblGrid>
      <w:tr>
        <w:tblPrEx>
          <w:tblCellMar>
            <w:top w:w="0" w:type="dxa"/>
            <w:left w:w="108" w:type="dxa"/>
            <w:bottom w:w="0" w:type="dxa"/>
            <w:right w:w="108" w:type="dxa"/>
          </w:tblCellMar>
        </w:tblPrEx>
        <w:trPr>
          <w:trHeight w:val="324" w:hRule="atLeast"/>
        </w:trPr>
        <w:tc>
          <w:tcPr>
            <w:tcW w:w="3572"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57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442"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2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240"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75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8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8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6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649" w:hRule="atLeast"/>
        </w:trPr>
        <w:tc>
          <w:tcPr>
            <w:tcW w:w="15435"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324" w:hRule="atLeast"/>
        </w:trPr>
        <w:tc>
          <w:tcPr>
            <w:tcW w:w="357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98"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24" w:hRule="atLeast"/>
        </w:trPr>
        <w:tc>
          <w:tcPr>
            <w:tcW w:w="3572"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p>
        </w:tc>
        <w:tc>
          <w:tcPr>
            <w:tcW w:w="57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6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598"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5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8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34" w:hRule="atLeast"/>
        </w:trPr>
        <w:tc>
          <w:tcPr>
            <w:tcW w:w="551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9923"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98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3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75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8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8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6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6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3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75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6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3958.08</w:t>
            </w:r>
          </w:p>
        </w:tc>
        <w:tc>
          <w:tcPr>
            <w:tcW w:w="313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一、社会保障和就业支出</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75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185.30</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185.30</w:t>
            </w:r>
          </w:p>
        </w:tc>
        <w:tc>
          <w:tcPr>
            <w:tcW w:w="138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100.00</w:t>
            </w:r>
          </w:p>
        </w:tc>
        <w:tc>
          <w:tcPr>
            <w:tcW w:w="313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二、卫生健康支出</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75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79.09</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79.09</w:t>
            </w:r>
          </w:p>
        </w:tc>
        <w:tc>
          <w:tcPr>
            <w:tcW w:w="138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36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三、节能环保支出</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75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173.00</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173.00</w:t>
            </w:r>
          </w:p>
        </w:tc>
        <w:tc>
          <w:tcPr>
            <w:tcW w:w="138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36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四、城乡社区支出</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75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3370.83</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3320.83</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50.00</w:t>
            </w:r>
          </w:p>
        </w:tc>
        <w:tc>
          <w:tcPr>
            <w:tcW w:w="15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36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五、住房保障支出</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75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99.98</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99.98</w:t>
            </w:r>
          </w:p>
        </w:tc>
        <w:tc>
          <w:tcPr>
            <w:tcW w:w="1384"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kern w:val="0"/>
                <w:sz w:val="22"/>
              </w:rPr>
            </w:pPr>
          </w:p>
        </w:tc>
        <w:tc>
          <w:tcPr>
            <w:tcW w:w="15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36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2"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六、抗疫特别国债安排的支出</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75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50.00</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50.00</w:t>
            </w:r>
          </w:p>
        </w:tc>
        <w:tc>
          <w:tcPr>
            <w:tcW w:w="15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36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75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6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34"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4,058.08</w:t>
            </w:r>
          </w:p>
        </w:tc>
        <w:tc>
          <w:tcPr>
            <w:tcW w:w="313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75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3958.21</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3858.21</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100.00</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43"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szCs w:val="22"/>
                <w:lang w:val="en-US" w:eastAsia="zh-CN" w:bidi="ar-SA"/>
              </w:rPr>
            </w:pPr>
            <w:r>
              <w:rPr>
                <w:rFonts w:hint="eastAsia" w:ascii="宋体" w:hAnsi="宋体" w:eastAsia="宋体" w:cs="宋体"/>
                <w:i w:val="0"/>
                <w:iCs w:val="0"/>
                <w:color w:val="000000"/>
                <w:kern w:val="0"/>
                <w:sz w:val="22"/>
                <w:szCs w:val="22"/>
                <w:u w:val="none"/>
                <w:lang w:val="en-US" w:eastAsia="zh-CN" w:bidi="ar"/>
              </w:rPr>
              <w:t>217.42</w:t>
            </w:r>
          </w:p>
        </w:tc>
        <w:tc>
          <w:tcPr>
            <w:tcW w:w="313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75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317.29</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317.29</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71"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ind w:firstLine="660" w:firstLineChars="300"/>
              <w:jc w:val="both"/>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217.42</w:t>
            </w:r>
          </w:p>
        </w:tc>
        <w:tc>
          <w:tcPr>
            <w:tcW w:w="313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75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79"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 xml:space="preserve">     </w:t>
            </w:r>
            <w:r>
              <w:rPr>
                <w:rFonts w:hint="eastAsia" w:ascii="宋体" w:hAnsi="宋体" w:eastAsia="宋体" w:cs="宋体"/>
                <w:kern w:val="0"/>
                <w:sz w:val="22"/>
              </w:rPr>
              <w:t>政府性基金预算财政拨款</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36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75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43" w:hRule="atLeast"/>
        </w:trPr>
        <w:tc>
          <w:tcPr>
            <w:tcW w:w="357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w:t>
            </w:r>
            <w:r>
              <w:rPr>
                <w:rFonts w:hint="eastAsia" w:ascii="宋体" w:hAnsi="宋体" w:eastAsia="宋体" w:cs="宋体"/>
                <w:kern w:val="0"/>
                <w:sz w:val="22"/>
                <w:lang w:val="en-US" w:eastAsia="zh-CN"/>
              </w:rPr>
              <w:t xml:space="preserve"> </w:t>
            </w:r>
            <w:r>
              <w:rPr>
                <w:rFonts w:hint="eastAsia" w:ascii="宋体" w:hAnsi="宋体" w:eastAsia="宋体" w:cs="宋体"/>
                <w:kern w:val="0"/>
                <w:sz w:val="22"/>
              </w:rPr>
              <w:t>国有资本经营预算财政拨款</w:t>
            </w:r>
          </w:p>
        </w:tc>
        <w:tc>
          <w:tcPr>
            <w:tcW w:w="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36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13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70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75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8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91" w:hRule="atLeast"/>
        </w:trPr>
        <w:tc>
          <w:tcPr>
            <w:tcW w:w="3572"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57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3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4,275.50</w:t>
            </w:r>
          </w:p>
        </w:tc>
        <w:tc>
          <w:tcPr>
            <w:tcW w:w="313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0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75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hint="default" w:ascii="宋体" w:hAnsi="宋体" w:eastAsia="宋体" w:cs="宋体"/>
                <w:kern w:val="0"/>
                <w:sz w:val="22"/>
                <w:lang w:val="en-US"/>
              </w:rPr>
            </w:pPr>
            <w:r>
              <w:rPr>
                <w:rFonts w:hint="eastAsia" w:ascii="宋体" w:hAnsi="宋体" w:eastAsia="宋体" w:cs="宋体"/>
                <w:i w:val="0"/>
                <w:iCs w:val="0"/>
                <w:color w:val="000000"/>
                <w:kern w:val="0"/>
                <w:sz w:val="22"/>
                <w:szCs w:val="22"/>
                <w:u w:val="none"/>
                <w:lang w:val="en-US" w:eastAsia="zh-CN" w:bidi="ar"/>
              </w:rPr>
              <w:t>4,275.50</w:t>
            </w:r>
          </w:p>
        </w:tc>
        <w:tc>
          <w:tcPr>
            <w:tcW w:w="138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iCs w:val="0"/>
                <w:color w:val="000000"/>
                <w:kern w:val="0"/>
                <w:sz w:val="22"/>
                <w:szCs w:val="22"/>
                <w:u w:val="none"/>
                <w:lang w:val="en-US" w:eastAsia="zh-CN" w:bidi="ar"/>
              </w:rPr>
              <w:t>4,175.50</w:t>
            </w:r>
          </w:p>
        </w:tc>
        <w:tc>
          <w:tcPr>
            <w:tcW w:w="138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b/>
                <w:bCs/>
                <w:kern w:val="0"/>
                <w:sz w:val="22"/>
              </w:rPr>
            </w:pPr>
            <w:r>
              <w:rPr>
                <w:rFonts w:hint="eastAsia" w:ascii="宋体" w:hAnsi="宋体" w:eastAsia="宋体" w:cs="宋体"/>
                <w:i w:val="0"/>
                <w:iCs w:val="0"/>
                <w:color w:val="000000"/>
                <w:kern w:val="0"/>
                <w:sz w:val="22"/>
                <w:szCs w:val="22"/>
                <w:u w:val="none"/>
                <w:lang w:val="en-US" w:eastAsia="zh-CN" w:bidi="ar"/>
              </w:rPr>
              <w:t>100.00</w:t>
            </w:r>
          </w:p>
        </w:tc>
        <w:tc>
          <w:tcPr>
            <w:tcW w:w="156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34" w:hRule="atLeast"/>
        </w:trPr>
        <w:tc>
          <w:tcPr>
            <w:tcW w:w="15435"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7"/>
        <w:tblW w:w="14619" w:type="dxa"/>
        <w:jc w:val="center"/>
        <w:tblLayout w:type="autofit"/>
        <w:tblCellMar>
          <w:top w:w="0" w:type="dxa"/>
          <w:left w:w="108" w:type="dxa"/>
          <w:bottom w:w="0" w:type="dxa"/>
          <w:right w:w="108" w:type="dxa"/>
        </w:tblCellMar>
      </w:tblPr>
      <w:tblGrid>
        <w:gridCol w:w="1233"/>
        <w:gridCol w:w="4247"/>
        <w:gridCol w:w="2464"/>
        <w:gridCol w:w="3590"/>
        <w:gridCol w:w="3085"/>
      </w:tblGrid>
      <w:tr>
        <w:tblPrEx>
          <w:tblCellMar>
            <w:top w:w="0" w:type="dxa"/>
            <w:left w:w="108" w:type="dxa"/>
            <w:bottom w:w="0" w:type="dxa"/>
            <w:right w:w="108" w:type="dxa"/>
          </w:tblCellMar>
        </w:tblPrEx>
        <w:trPr>
          <w:trHeight w:val="560" w:hRule="atLeast"/>
          <w:jc w:val="center"/>
        </w:trPr>
        <w:tc>
          <w:tcPr>
            <w:tcW w:w="5480"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139"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543" w:hRule="atLeast"/>
          <w:jc w:val="center"/>
        </w:trPr>
        <w:tc>
          <w:tcPr>
            <w:tcW w:w="1233"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24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64"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59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85"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543" w:hRule="atLeast"/>
          <w:jc w:val="center"/>
        </w:trPr>
        <w:tc>
          <w:tcPr>
            <w:tcW w:w="1233"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24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46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9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85"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12" w:hRule="atLeast"/>
          <w:jc w:val="center"/>
        </w:trPr>
        <w:tc>
          <w:tcPr>
            <w:tcW w:w="1233"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24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46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9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85"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543" w:hRule="atLeast"/>
          <w:jc w:val="center"/>
        </w:trPr>
        <w:tc>
          <w:tcPr>
            <w:tcW w:w="548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6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59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85"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543" w:hRule="atLeast"/>
          <w:jc w:val="center"/>
        </w:trPr>
        <w:tc>
          <w:tcPr>
            <w:tcW w:w="548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bCs/>
                <w:kern w:val="0"/>
                <w:szCs w:val="21"/>
              </w:rPr>
            </w:pPr>
            <w:r>
              <w:rPr>
                <w:rFonts w:hint="eastAsia" w:ascii="宋体" w:hAnsi="宋体" w:eastAsia="宋体" w:cs="宋体"/>
                <w:b/>
                <w:bCs/>
                <w:i w:val="0"/>
                <w:iCs w:val="0"/>
                <w:color w:val="000000"/>
                <w:kern w:val="0"/>
                <w:sz w:val="22"/>
                <w:szCs w:val="22"/>
                <w:u w:val="none"/>
                <w:lang w:val="en-US" w:eastAsia="zh-CN" w:bidi="ar"/>
              </w:rPr>
              <w:t>3858.21</w:t>
            </w:r>
          </w:p>
        </w:tc>
        <w:tc>
          <w:tcPr>
            <w:tcW w:w="359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bCs/>
                <w:i w:val="0"/>
                <w:iCs w:val="0"/>
                <w:color w:val="000000"/>
                <w:kern w:val="0"/>
                <w:sz w:val="22"/>
                <w:szCs w:val="22"/>
                <w:u w:val="none"/>
                <w:lang w:val="en-US" w:eastAsia="zh-CN" w:bidi="ar"/>
              </w:rPr>
              <w:t>2336.04</w:t>
            </w:r>
          </w:p>
        </w:tc>
        <w:tc>
          <w:tcPr>
            <w:tcW w:w="308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bCs w:val="0"/>
                <w:i w:val="0"/>
                <w:iCs w:val="0"/>
                <w:color w:val="000000"/>
                <w:kern w:val="0"/>
                <w:sz w:val="22"/>
                <w:szCs w:val="22"/>
                <w:u w:val="none"/>
                <w:lang w:val="en-US" w:eastAsia="zh-CN" w:bidi="ar"/>
              </w:rPr>
              <w:t>1522.17</w:t>
            </w:r>
          </w:p>
        </w:tc>
      </w:tr>
      <w:tr>
        <w:tblPrEx>
          <w:tblCellMar>
            <w:top w:w="0" w:type="dxa"/>
            <w:left w:w="108" w:type="dxa"/>
            <w:bottom w:w="0" w:type="dxa"/>
            <w:right w:w="108" w:type="dxa"/>
          </w:tblCellMar>
        </w:tblPrEx>
        <w:trPr>
          <w:trHeight w:val="543" w:hRule="atLeast"/>
          <w:jc w:val="center"/>
        </w:trPr>
        <w:tc>
          <w:tcPr>
            <w:tcW w:w="1233"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424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4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185.30</w:t>
            </w:r>
          </w:p>
        </w:tc>
        <w:tc>
          <w:tcPr>
            <w:tcW w:w="359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185.30</w:t>
            </w:r>
          </w:p>
        </w:tc>
        <w:tc>
          <w:tcPr>
            <w:tcW w:w="308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43" w:hRule="atLeast"/>
          <w:jc w:val="center"/>
        </w:trPr>
        <w:tc>
          <w:tcPr>
            <w:tcW w:w="1233"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424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24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158.37</w:t>
            </w:r>
          </w:p>
        </w:tc>
        <w:tc>
          <w:tcPr>
            <w:tcW w:w="359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158.37</w:t>
            </w:r>
          </w:p>
        </w:tc>
        <w:tc>
          <w:tcPr>
            <w:tcW w:w="308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43" w:hRule="atLeast"/>
          <w:jc w:val="center"/>
        </w:trPr>
        <w:tc>
          <w:tcPr>
            <w:tcW w:w="1233"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2080501</w:t>
            </w:r>
          </w:p>
        </w:tc>
        <w:tc>
          <w:tcPr>
            <w:tcW w:w="424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24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0.19</w:t>
            </w:r>
          </w:p>
        </w:tc>
        <w:tc>
          <w:tcPr>
            <w:tcW w:w="359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0.19</w:t>
            </w:r>
          </w:p>
        </w:tc>
        <w:tc>
          <w:tcPr>
            <w:tcW w:w="308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42" w:hRule="atLeast"/>
          <w:jc w:val="center"/>
        </w:trPr>
        <w:tc>
          <w:tcPr>
            <w:tcW w:w="1233"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424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24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158.18</w:t>
            </w:r>
          </w:p>
        </w:tc>
        <w:tc>
          <w:tcPr>
            <w:tcW w:w="359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158.18</w:t>
            </w:r>
          </w:p>
        </w:tc>
        <w:tc>
          <w:tcPr>
            <w:tcW w:w="308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43" w:hRule="atLeast"/>
          <w:jc w:val="center"/>
        </w:trPr>
        <w:tc>
          <w:tcPr>
            <w:tcW w:w="1233"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w:t>
            </w:r>
          </w:p>
        </w:tc>
        <w:tc>
          <w:tcPr>
            <w:tcW w:w="424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246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26.94</w:t>
            </w:r>
          </w:p>
        </w:tc>
        <w:tc>
          <w:tcPr>
            <w:tcW w:w="359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26.94</w:t>
            </w:r>
          </w:p>
        </w:tc>
        <w:tc>
          <w:tcPr>
            <w:tcW w:w="3085"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43"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2089901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26.94</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26.94</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79.09</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79.09</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行政事业单位医疗</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79.09</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79.09</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79.09</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79.09</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21012</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71"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2101299</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财政对其他基本医疗保险基金的补助</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节能环保支出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173.00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173.00</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21103</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污染防治</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173.00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173.00</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2110302</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水体</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173.00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173.00</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3320.84</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1971.67</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1349.17</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城乡社区管理事务</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1835.94</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1613.76</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222.18</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2120101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1551.24</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1551.24</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2120102</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79.64</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79.64</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2120103</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机关服务</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2120106</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工程建设管理</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59.33</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59.33</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2120109</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住宅建设与房地产市场监管</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57.73</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57.73</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2120199</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38.00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12.52</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25.48</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21202</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城乡社区规划与管理</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40.00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40.00</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2120201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城乡社区规划与管理</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40.00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40.00</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21203</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城乡社区公共设施</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1126.99</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1126.99</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2120303</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小城镇基础设施建设</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632.36</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632.36</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2120399</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其他城乡社区公共设施支出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494.63</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r>
              <w:rPr>
                <w:rFonts w:hint="eastAsia" w:ascii="宋体" w:hAnsi="宋体" w:eastAsia="宋体" w:cs="宋体"/>
                <w:b w:val="0"/>
                <w:bCs/>
                <w:i w:val="0"/>
                <w:iCs w:val="0"/>
                <w:color w:val="000000"/>
                <w:kern w:val="0"/>
                <w:sz w:val="22"/>
                <w:szCs w:val="22"/>
                <w:u w:val="none"/>
                <w:lang w:val="en-US" w:eastAsia="zh-CN" w:bidi="ar"/>
              </w:rPr>
              <w:t>494.63</w:t>
            </w: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21206</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建设市场管理与监督</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158.40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158.40</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2120601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建设市场管理与监督</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158.40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158.40</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21299</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其他城乡社区支出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159.50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159.50</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2129901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其他城乡社区支出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159.50</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159.50</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99.98</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99.98</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99.98</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99.98</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233"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424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2464"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99.98</w:t>
            </w:r>
          </w:p>
        </w:tc>
        <w:tc>
          <w:tcPr>
            <w:tcW w:w="359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99.98</w:t>
            </w:r>
          </w:p>
        </w:tc>
        <w:tc>
          <w:tcPr>
            <w:tcW w:w="3085"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kern w:val="0"/>
                <w:szCs w:val="21"/>
              </w:rPr>
            </w:pPr>
          </w:p>
        </w:tc>
      </w:tr>
      <w:tr>
        <w:tblPrEx>
          <w:tblCellMar>
            <w:top w:w="0" w:type="dxa"/>
            <w:left w:w="108" w:type="dxa"/>
            <w:bottom w:w="0" w:type="dxa"/>
            <w:right w:w="108" w:type="dxa"/>
          </w:tblCellMar>
        </w:tblPrEx>
        <w:trPr>
          <w:trHeight w:val="560" w:hRule="atLeast"/>
          <w:jc w:val="center"/>
        </w:trPr>
        <w:tc>
          <w:tcPr>
            <w:tcW w:w="146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7"/>
        <w:tblW w:w="15697" w:type="dxa"/>
        <w:tblInd w:w="0" w:type="dxa"/>
        <w:tblLayout w:type="fixed"/>
        <w:tblCellMar>
          <w:top w:w="0" w:type="dxa"/>
          <w:left w:w="108" w:type="dxa"/>
          <w:bottom w:w="0" w:type="dxa"/>
          <w:right w:w="108" w:type="dxa"/>
        </w:tblCellMar>
      </w:tblPr>
      <w:tblGrid>
        <w:gridCol w:w="901"/>
        <w:gridCol w:w="3348"/>
        <w:gridCol w:w="1128"/>
        <w:gridCol w:w="852"/>
        <w:gridCol w:w="2388"/>
        <w:gridCol w:w="1056"/>
        <w:gridCol w:w="924"/>
        <w:gridCol w:w="4152"/>
        <w:gridCol w:w="948"/>
      </w:tblGrid>
      <w:tr>
        <w:tblPrEx>
          <w:tblCellMar>
            <w:top w:w="0" w:type="dxa"/>
            <w:left w:w="108" w:type="dxa"/>
            <w:bottom w:w="0" w:type="dxa"/>
            <w:right w:w="108" w:type="dxa"/>
          </w:tblCellMar>
        </w:tblPrEx>
        <w:trPr>
          <w:trHeight w:val="113" w:hRule="atLeast"/>
        </w:trPr>
        <w:tc>
          <w:tcPr>
            <w:tcW w:w="15697"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b/>
                <w:bCs/>
                <w:color w:val="000000"/>
                <w:kern w:val="0"/>
                <w:szCs w:val="32"/>
              </w:rPr>
            </w:pPr>
            <w:bookmarkStart w:id="2" w:name="RANGE!A1:I34"/>
            <w:r>
              <w:rPr>
                <w:rFonts w:hint="eastAsia" w:ascii="华文中宋" w:hAnsi="华文中宋" w:eastAsia="华文中宋" w:cs="宋体"/>
                <w:b/>
                <w:bCs/>
                <w:color w:val="000000"/>
                <w:kern w:val="0"/>
                <w:szCs w:val="32"/>
              </w:rPr>
              <w:t>一般公共预算财政拨款基本支出决算表</w:t>
            </w:r>
            <w:bookmarkEnd w:id="2"/>
          </w:p>
          <w:p>
            <w:pPr>
              <w:widowControl/>
              <w:wordWrap w:val="0"/>
              <w:jc w:val="both"/>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     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9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8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1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1896.63</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364.47</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576.86</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48.44</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246.75</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0.95</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317.70</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4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10.80</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117.74</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93.59</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0.97</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4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8.80</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175.78</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0.20</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79.48</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3.64</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80.08</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27.92</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12.19</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13.76</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145.77</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11.11</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22.77</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64.15</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0.98</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0.06</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18.04</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34.08</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4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2.00</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3.59</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79.11</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28.22</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2.95</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100.45</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12.03</w:t>
            </w: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1.97</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90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4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p>
        </w:tc>
        <w:tc>
          <w:tcPr>
            <w:tcW w:w="8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8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68.09</w:t>
            </w:r>
          </w:p>
        </w:tc>
        <w:tc>
          <w:tcPr>
            <w:tcW w:w="92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5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w:t>
            </w:r>
          </w:p>
        </w:tc>
      </w:tr>
      <w:tr>
        <w:tblPrEx>
          <w:tblCellMar>
            <w:top w:w="0" w:type="dxa"/>
            <w:left w:w="108" w:type="dxa"/>
            <w:bottom w:w="0" w:type="dxa"/>
            <w:right w:w="108" w:type="dxa"/>
          </w:tblCellMar>
        </w:tblPrEx>
        <w:trPr>
          <w:trHeight w:val="284" w:hRule="exact"/>
        </w:trPr>
        <w:tc>
          <w:tcPr>
            <w:tcW w:w="424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2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1960.78</w:t>
            </w:r>
          </w:p>
        </w:tc>
        <w:tc>
          <w:tcPr>
            <w:tcW w:w="9372"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48" w:type="dxa"/>
            <w:tcBorders>
              <w:top w:val="nil"/>
              <w:left w:val="nil"/>
              <w:bottom w:val="single" w:color="auto" w:sz="4" w:space="0"/>
              <w:right w:val="single" w:color="auto" w:sz="4" w:space="0"/>
            </w:tcBorders>
            <w:shd w:val="clear" w:color="auto" w:fill="auto"/>
            <w:noWrap/>
            <w:vAlign w:val="bottom"/>
          </w:tcPr>
          <w:p>
            <w:pPr>
              <w:keepNext w:val="0"/>
              <w:keepLines w:val="0"/>
              <w:widowControl/>
              <w:suppressLineNumbers w:val="0"/>
              <w:jc w:val="right"/>
              <w:textAlignment w:val="bottom"/>
              <w:rPr>
                <w:rFonts w:hint="eastAsia" w:ascii="Arial" w:hAnsi="Arial" w:cs="Arial" w:eastAsiaTheme="minorEastAsia"/>
                <w:i w:val="0"/>
                <w:iCs w:val="0"/>
                <w:color w:val="000000"/>
                <w:kern w:val="2"/>
                <w:sz w:val="20"/>
                <w:szCs w:val="20"/>
                <w:u w:val="none"/>
                <w:lang w:val="en-US" w:eastAsia="zh-CN" w:bidi="ar-SA"/>
              </w:rPr>
            </w:pPr>
            <w:r>
              <w:rPr>
                <w:rFonts w:hint="default" w:ascii="宋体" w:hAnsi="宋体" w:eastAsia="宋体" w:cs="宋体"/>
                <w:i w:val="0"/>
                <w:iCs w:val="0"/>
                <w:color w:val="000000"/>
                <w:kern w:val="0"/>
                <w:sz w:val="22"/>
                <w:szCs w:val="22"/>
                <w:u w:val="none"/>
                <w:lang w:val="en-US" w:eastAsia="zh-CN" w:bidi="ar"/>
              </w:rPr>
              <w:t>375.2</w:t>
            </w:r>
            <w:r>
              <w:rPr>
                <w:rFonts w:hint="eastAsia" w:ascii="宋体" w:hAnsi="宋体" w:eastAsia="宋体" w:cs="宋体"/>
                <w:i w:val="0"/>
                <w:iCs w:val="0"/>
                <w:color w:val="000000"/>
                <w:kern w:val="0"/>
                <w:sz w:val="22"/>
                <w:szCs w:val="22"/>
                <w:u w:val="none"/>
                <w:lang w:val="en-US" w:eastAsia="zh-CN" w:bidi="ar"/>
              </w:rPr>
              <w:t>6</w:t>
            </w:r>
            <w:r>
              <w:rPr>
                <w:rFonts w:hint="default"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284" w:hRule="exact"/>
        </w:trPr>
        <w:tc>
          <w:tcPr>
            <w:tcW w:w="15697"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ind w:firstLine="420" w:firstLineChars="2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60.5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39</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3.29</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2.95</w:t>
            </w:r>
          </w:p>
        </w:tc>
        <w:tc>
          <w:tcPr>
            <w:tcW w:w="1220" w:type="dxa"/>
            <w:tcBorders>
              <w:top w:val="nil"/>
              <w:left w:val="nil"/>
              <w:bottom w:val="single" w:color="auto" w:sz="8"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w:t>
            </w:r>
          </w:p>
        </w:tc>
        <w:tc>
          <w:tcPr>
            <w:tcW w:w="1220" w:type="dxa"/>
            <w:tcBorders>
              <w:top w:val="nil"/>
              <w:left w:val="nil"/>
              <w:bottom w:val="single" w:color="auto" w:sz="8" w:space="0"/>
              <w:right w:val="nil"/>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2.95</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0.34</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ind w:firstLine="630" w:firstLineChars="300"/>
        <w:jc w:val="both"/>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公开08表</w:t>
      </w:r>
    </w:p>
    <w:p>
      <w:pPr>
        <w:widowControl/>
        <w:jc w:val="center"/>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3080"/>
        <w:gridCol w:w="1166"/>
        <w:gridCol w:w="1656"/>
        <w:gridCol w:w="1812"/>
        <w:gridCol w:w="1872"/>
        <w:gridCol w:w="1734"/>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20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1166"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656"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5418"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08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166" w:type="dxa"/>
            <w:vMerge w:val="continue"/>
            <w:vAlign w:val="center"/>
          </w:tcPr>
          <w:p>
            <w:pPr>
              <w:widowControl/>
              <w:jc w:val="left"/>
              <w:rPr>
                <w:rFonts w:ascii="Times New Roman" w:hAnsi="Times New Roman" w:eastAsia="仿宋_GB2312" w:cs="Times New Roman"/>
                <w:b/>
                <w:kern w:val="0"/>
                <w:szCs w:val="21"/>
              </w:rPr>
            </w:pPr>
          </w:p>
        </w:tc>
        <w:tc>
          <w:tcPr>
            <w:tcW w:w="1656" w:type="dxa"/>
            <w:vMerge w:val="continue"/>
            <w:vAlign w:val="center"/>
          </w:tcPr>
          <w:p>
            <w:pPr>
              <w:widowControl/>
              <w:jc w:val="left"/>
              <w:rPr>
                <w:rFonts w:ascii="Times New Roman" w:hAnsi="Times New Roman" w:eastAsia="仿宋_GB2312" w:cs="Times New Roman"/>
                <w:b/>
                <w:kern w:val="0"/>
                <w:szCs w:val="21"/>
              </w:rPr>
            </w:pPr>
          </w:p>
        </w:tc>
        <w:tc>
          <w:tcPr>
            <w:tcW w:w="1812"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872"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1734"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080" w:type="dxa"/>
            <w:vMerge w:val="continue"/>
            <w:vAlign w:val="center"/>
          </w:tcPr>
          <w:p>
            <w:pPr>
              <w:widowControl/>
              <w:jc w:val="left"/>
              <w:rPr>
                <w:rFonts w:ascii="Times New Roman" w:hAnsi="Times New Roman" w:eastAsia="仿宋_GB2312" w:cs="Times New Roman"/>
                <w:kern w:val="0"/>
                <w:szCs w:val="21"/>
              </w:rPr>
            </w:pPr>
          </w:p>
        </w:tc>
        <w:tc>
          <w:tcPr>
            <w:tcW w:w="1166" w:type="dxa"/>
            <w:vMerge w:val="continue"/>
            <w:vAlign w:val="center"/>
          </w:tcPr>
          <w:p>
            <w:pPr>
              <w:widowControl/>
              <w:jc w:val="left"/>
              <w:rPr>
                <w:rFonts w:ascii="Times New Roman" w:hAnsi="Times New Roman" w:eastAsia="仿宋_GB2312" w:cs="Times New Roman"/>
                <w:kern w:val="0"/>
                <w:szCs w:val="21"/>
              </w:rPr>
            </w:pPr>
          </w:p>
        </w:tc>
        <w:tc>
          <w:tcPr>
            <w:tcW w:w="1656" w:type="dxa"/>
            <w:vMerge w:val="continue"/>
            <w:vAlign w:val="center"/>
          </w:tcPr>
          <w:p>
            <w:pPr>
              <w:widowControl/>
              <w:jc w:val="left"/>
              <w:rPr>
                <w:rFonts w:ascii="Times New Roman" w:hAnsi="Times New Roman" w:eastAsia="仿宋_GB2312" w:cs="Times New Roman"/>
                <w:kern w:val="0"/>
                <w:szCs w:val="21"/>
              </w:rPr>
            </w:pPr>
          </w:p>
        </w:tc>
        <w:tc>
          <w:tcPr>
            <w:tcW w:w="1812" w:type="dxa"/>
            <w:vMerge w:val="continue"/>
            <w:vAlign w:val="center"/>
          </w:tcPr>
          <w:p>
            <w:pPr>
              <w:widowControl/>
              <w:jc w:val="left"/>
              <w:rPr>
                <w:rFonts w:ascii="Times New Roman" w:hAnsi="Times New Roman" w:eastAsia="仿宋_GB2312" w:cs="Times New Roman"/>
                <w:kern w:val="0"/>
                <w:szCs w:val="21"/>
              </w:rPr>
            </w:pPr>
          </w:p>
        </w:tc>
        <w:tc>
          <w:tcPr>
            <w:tcW w:w="1872" w:type="dxa"/>
            <w:vMerge w:val="continue"/>
            <w:vAlign w:val="center"/>
          </w:tcPr>
          <w:p>
            <w:pPr>
              <w:widowControl/>
              <w:jc w:val="left"/>
              <w:rPr>
                <w:rFonts w:ascii="Times New Roman" w:hAnsi="Times New Roman" w:eastAsia="仿宋_GB2312" w:cs="Times New Roman"/>
                <w:kern w:val="0"/>
                <w:szCs w:val="21"/>
              </w:rPr>
            </w:pPr>
          </w:p>
        </w:tc>
        <w:tc>
          <w:tcPr>
            <w:tcW w:w="1734"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080" w:type="dxa"/>
            <w:vMerge w:val="continue"/>
            <w:vAlign w:val="center"/>
          </w:tcPr>
          <w:p>
            <w:pPr>
              <w:widowControl/>
              <w:jc w:val="left"/>
              <w:rPr>
                <w:rFonts w:ascii="Times New Roman" w:hAnsi="Times New Roman" w:eastAsia="仿宋_GB2312" w:cs="Times New Roman"/>
                <w:kern w:val="0"/>
                <w:szCs w:val="21"/>
              </w:rPr>
            </w:pPr>
          </w:p>
        </w:tc>
        <w:tc>
          <w:tcPr>
            <w:tcW w:w="1166" w:type="dxa"/>
            <w:vMerge w:val="continue"/>
            <w:vAlign w:val="center"/>
          </w:tcPr>
          <w:p>
            <w:pPr>
              <w:widowControl/>
              <w:jc w:val="left"/>
              <w:rPr>
                <w:rFonts w:ascii="Times New Roman" w:hAnsi="Times New Roman" w:eastAsia="仿宋_GB2312" w:cs="Times New Roman"/>
                <w:kern w:val="0"/>
                <w:szCs w:val="21"/>
              </w:rPr>
            </w:pPr>
          </w:p>
        </w:tc>
        <w:tc>
          <w:tcPr>
            <w:tcW w:w="1656" w:type="dxa"/>
            <w:vMerge w:val="continue"/>
            <w:vAlign w:val="center"/>
          </w:tcPr>
          <w:p>
            <w:pPr>
              <w:widowControl/>
              <w:jc w:val="left"/>
              <w:rPr>
                <w:rFonts w:ascii="Times New Roman" w:hAnsi="Times New Roman" w:eastAsia="仿宋_GB2312" w:cs="Times New Roman"/>
                <w:kern w:val="0"/>
                <w:szCs w:val="21"/>
              </w:rPr>
            </w:pPr>
          </w:p>
        </w:tc>
        <w:tc>
          <w:tcPr>
            <w:tcW w:w="1812" w:type="dxa"/>
            <w:vMerge w:val="continue"/>
            <w:vAlign w:val="center"/>
          </w:tcPr>
          <w:p>
            <w:pPr>
              <w:widowControl/>
              <w:jc w:val="left"/>
              <w:rPr>
                <w:rFonts w:ascii="Times New Roman" w:hAnsi="Times New Roman" w:eastAsia="仿宋_GB2312" w:cs="Times New Roman"/>
                <w:kern w:val="0"/>
                <w:szCs w:val="21"/>
              </w:rPr>
            </w:pPr>
          </w:p>
        </w:tc>
        <w:tc>
          <w:tcPr>
            <w:tcW w:w="1872" w:type="dxa"/>
            <w:vMerge w:val="continue"/>
            <w:vAlign w:val="center"/>
          </w:tcPr>
          <w:p>
            <w:pPr>
              <w:widowControl/>
              <w:jc w:val="left"/>
              <w:rPr>
                <w:rFonts w:ascii="Times New Roman" w:hAnsi="Times New Roman" w:eastAsia="仿宋_GB2312" w:cs="Times New Roman"/>
                <w:kern w:val="0"/>
                <w:szCs w:val="21"/>
              </w:rPr>
            </w:pPr>
          </w:p>
        </w:tc>
        <w:tc>
          <w:tcPr>
            <w:tcW w:w="1734"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20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16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65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812"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872"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734"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420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166"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56"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100.00</w:t>
            </w:r>
          </w:p>
        </w:tc>
        <w:tc>
          <w:tcPr>
            <w:tcW w:w="1812"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100.00</w:t>
            </w:r>
          </w:p>
        </w:tc>
        <w:tc>
          <w:tcPr>
            <w:tcW w:w="1872"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100.00</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w:t>
            </w:r>
          </w:p>
        </w:tc>
        <w:tc>
          <w:tcPr>
            <w:tcW w:w="308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城乡社区支出</w:t>
            </w:r>
          </w:p>
        </w:tc>
        <w:tc>
          <w:tcPr>
            <w:tcW w:w="116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56"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12"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7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21213</w:t>
            </w:r>
          </w:p>
        </w:tc>
        <w:tc>
          <w:tcPr>
            <w:tcW w:w="308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城市基础设施配套费安排的支出</w:t>
            </w:r>
          </w:p>
        </w:tc>
        <w:tc>
          <w:tcPr>
            <w:tcW w:w="116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56"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12"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7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2121302</w:t>
            </w:r>
          </w:p>
        </w:tc>
        <w:tc>
          <w:tcPr>
            <w:tcW w:w="308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城市环境卫生</w:t>
            </w:r>
          </w:p>
        </w:tc>
        <w:tc>
          <w:tcPr>
            <w:tcW w:w="116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56"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12"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7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234</w:t>
            </w:r>
          </w:p>
        </w:tc>
        <w:tc>
          <w:tcPr>
            <w:tcW w:w="308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116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56"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12"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7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23401</w:t>
            </w:r>
          </w:p>
        </w:tc>
        <w:tc>
          <w:tcPr>
            <w:tcW w:w="308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基础设施建设</w:t>
            </w:r>
          </w:p>
        </w:tc>
        <w:tc>
          <w:tcPr>
            <w:tcW w:w="116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56"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12"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7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2340102</w:t>
            </w:r>
          </w:p>
        </w:tc>
        <w:tc>
          <w:tcPr>
            <w:tcW w:w="3080" w:type="dxa"/>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 xml:space="preserve">  重大疫情防控救治体系建设</w:t>
            </w:r>
          </w:p>
        </w:tc>
        <w:tc>
          <w:tcPr>
            <w:tcW w:w="1166"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56"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12"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1872"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734" w:type="dxa"/>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b w:val="0"/>
                <w:bCs w:val="0"/>
                <w:kern w:val="0"/>
                <w:szCs w:val="21"/>
              </w:rPr>
            </w:pPr>
            <w:r>
              <w:rPr>
                <w:rFonts w:hint="eastAsia" w:ascii="宋体" w:hAnsi="宋体" w:eastAsia="宋体" w:cs="宋体"/>
                <w:b w:val="0"/>
                <w:bCs w:val="0"/>
                <w:i w:val="0"/>
                <w:iCs w:val="0"/>
                <w:color w:val="000000"/>
                <w:kern w:val="0"/>
                <w:sz w:val="22"/>
                <w:szCs w:val="22"/>
                <w:u w:val="none"/>
                <w:lang w:val="en-US" w:eastAsia="zh-CN" w:bidi="ar"/>
              </w:rPr>
              <w:t>50.00</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黑体" w:hAnsi="黑体" w:eastAsia="黑体"/>
          <w:szCs w:val="21"/>
        </w:rPr>
      </w:pPr>
      <w:r>
        <w:rPr>
          <w:rFonts w:ascii="黑体" w:hAnsi="黑体" w:eastAsia="黑体"/>
          <w:szCs w:val="21"/>
        </w:rPr>
        <w:br w:type="page"/>
      </w:r>
    </w:p>
    <w:tbl>
      <w:tblPr>
        <w:tblStyle w:val="7"/>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b/>
                <w:bCs/>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湘乡市住房和城乡建设局</w:t>
            </w:r>
            <w:r>
              <w:rPr>
                <w:rFonts w:ascii="宋体" w:hAnsi="宋体" w:eastAsia="宋体" w:cs="宋体"/>
                <w:color w:val="000000"/>
                <w:kern w:val="0"/>
                <w:sz w:val="20"/>
                <w:szCs w:val="20"/>
              </w:rPr>
              <w:t xml:space="preserve">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r>
              <w:rPr>
                <w:rFonts w:hint="eastAsia" w:ascii="宋体" w:hAnsi="宋体" w:eastAsia="宋体" w:cs="宋体"/>
                <w:b/>
                <w:bCs/>
                <w:kern w:val="0"/>
                <w:sz w:val="24"/>
                <w:szCs w:val="24"/>
                <w:lang w:eastAsia="zh-CN"/>
              </w:rPr>
              <w:t>本表无数据</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1"/>
        <w:rPr>
          <w:sz w:val="72"/>
          <w:szCs w:val="72"/>
        </w:rPr>
        <w:sectPr>
          <w:pgSz w:w="16838" w:h="11906" w:orient="landscape"/>
          <w:pgMar w:top="720" w:right="720" w:bottom="720" w:left="720" w:header="851" w:footer="992" w:gutter="0"/>
          <w:cols w:space="425" w:num="1"/>
          <w:docGrid w:type="lines" w:linePitch="312" w:charSpace="0"/>
        </w:sectPr>
      </w:pPr>
    </w:p>
    <w:p>
      <w:pPr>
        <w:pStyle w:val="11"/>
        <w:jc w:val="both"/>
        <w:rPr>
          <w:sz w:val="72"/>
          <w:szCs w:val="72"/>
        </w:rPr>
      </w:pPr>
    </w:p>
    <w:p>
      <w:pPr>
        <w:pStyle w:val="11"/>
        <w:jc w:val="both"/>
        <w:rPr>
          <w:sz w:val="72"/>
          <w:szCs w:val="72"/>
        </w:rPr>
      </w:pPr>
    </w:p>
    <w:p>
      <w:pPr>
        <w:pStyle w:val="11"/>
        <w:jc w:val="both"/>
        <w:rPr>
          <w:sz w:val="72"/>
          <w:szCs w:val="72"/>
        </w:rPr>
      </w:pPr>
    </w:p>
    <w:p>
      <w:pPr>
        <w:pStyle w:val="11"/>
        <w:jc w:val="both"/>
        <w:rPr>
          <w:sz w:val="72"/>
          <w:szCs w:val="72"/>
        </w:rPr>
      </w:pPr>
    </w:p>
    <w:p>
      <w:pPr>
        <w:pStyle w:val="11"/>
        <w:jc w:val="center"/>
        <w:rPr>
          <w:sz w:val="72"/>
          <w:szCs w:val="72"/>
        </w:rPr>
      </w:pPr>
      <w:r>
        <w:rPr>
          <w:rFonts w:hint="eastAsia"/>
          <w:sz w:val="72"/>
          <w:szCs w:val="72"/>
        </w:rPr>
        <w:t>第三部分</w:t>
      </w:r>
    </w:p>
    <w:p>
      <w:pPr>
        <w:pStyle w:val="11"/>
        <w:jc w:val="center"/>
        <w:rPr>
          <w:sz w:val="70"/>
          <w:szCs w:val="70"/>
        </w:rPr>
      </w:pPr>
    </w:p>
    <w:p>
      <w:pPr>
        <w:pStyle w:val="11"/>
        <w:jc w:val="center"/>
        <w:rPr>
          <w:sz w:val="70"/>
          <w:szCs w:val="70"/>
        </w:rPr>
      </w:pPr>
      <w:r>
        <w:rPr>
          <w:sz w:val="70"/>
          <w:szCs w:val="70"/>
        </w:rPr>
        <w:t>20</w:t>
      </w:r>
      <w:r>
        <w:rPr>
          <w:rFonts w:hint="eastAsia"/>
          <w:sz w:val="70"/>
          <w:szCs w:val="70"/>
        </w:rPr>
        <w:t>20年度部门决算情况说明</w:t>
      </w:r>
    </w:p>
    <w:p>
      <w:pPr>
        <w:widowControl/>
        <w:jc w:val="left"/>
        <w:rPr>
          <w:rFonts w:asciiTheme="minorEastAsia" w:hAnsiTheme="minorEastAsia" w:eastAsiaTheme="minorEastAsia"/>
          <w:sz w:val="32"/>
          <w:szCs w:val="32"/>
        </w:rPr>
      </w:pPr>
      <w:r>
        <w:rPr>
          <w:sz w:val="70"/>
          <w:szCs w:val="70"/>
        </w:rPr>
        <w:br w:type="page"/>
      </w:r>
    </w:p>
    <w:p>
      <w:pPr>
        <w:pStyle w:val="11"/>
        <w:rPr>
          <w:rFonts w:hAnsi="黑体"/>
          <w:b/>
          <w:sz w:val="32"/>
          <w:szCs w:val="32"/>
        </w:rPr>
      </w:pPr>
      <w:r>
        <w:rPr>
          <w:rFonts w:hint="eastAsia" w:hAnsi="黑体"/>
          <w:b/>
          <w:sz w:val="32"/>
          <w:szCs w:val="32"/>
        </w:rPr>
        <w:t>一、收入支出决算总体情况说明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w:t>
      </w:r>
      <w:r>
        <w:rPr>
          <w:rFonts w:hint="eastAsia" w:asciiTheme="minorEastAsia" w:hAnsiTheme="minorEastAsia" w:eastAsiaTheme="minorEastAsia"/>
          <w:sz w:val="32"/>
          <w:szCs w:val="32"/>
          <w:lang w:eastAsia="zh-CN"/>
        </w:rPr>
        <w:t>收支总计</w:t>
      </w:r>
      <w:r>
        <w:rPr>
          <w:rFonts w:hint="eastAsia" w:asciiTheme="minorEastAsia" w:hAnsiTheme="minorEastAsia" w:eastAsiaTheme="minorEastAsia"/>
          <w:sz w:val="32"/>
          <w:szCs w:val="32"/>
          <w:lang w:val="en-US" w:eastAsia="zh-CN"/>
        </w:rPr>
        <w:t>4818.19万元，收入本年合计4088.08万元，年初结转和结余730.11万元</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支</w:t>
      </w:r>
      <w:r>
        <w:rPr>
          <w:rFonts w:hint="eastAsia" w:asciiTheme="minorEastAsia" w:hAnsiTheme="minorEastAsia" w:eastAsiaTheme="minorEastAsia"/>
          <w:sz w:val="32"/>
          <w:szCs w:val="32"/>
          <w:lang w:eastAsia="zh-CN"/>
        </w:rPr>
        <w:t>出本年合计</w:t>
      </w:r>
      <w:r>
        <w:rPr>
          <w:rFonts w:hint="eastAsia" w:asciiTheme="minorEastAsia" w:hAnsiTheme="minorEastAsia" w:eastAsiaTheme="minorEastAsia"/>
          <w:sz w:val="32"/>
          <w:szCs w:val="32"/>
          <w:lang w:val="en-US" w:eastAsia="zh-CN"/>
        </w:rPr>
        <w:t>3958.21万元，年末结转和结余859.98万元</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1091.10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lang w:val="en-US" w:eastAsia="zh-CN"/>
        </w:rPr>
        <w:t>18.46</w:t>
      </w:r>
      <w:r>
        <w:rPr>
          <w:rFonts w:hint="eastAsia" w:asciiTheme="minorEastAsia" w:hAnsiTheme="minorEastAsia" w:eastAsiaTheme="minorEastAsia"/>
          <w:sz w:val="32"/>
          <w:szCs w:val="32"/>
        </w:rPr>
        <w:t>%，主要是因为一是</w:t>
      </w:r>
      <w:r>
        <w:rPr>
          <w:rFonts w:hint="eastAsia" w:asciiTheme="minorEastAsia" w:hAnsiTheme="minorEastAsia" w:eastAsiaTheme="minorEastAsia"/>
          <w:sz w:val="32"/>
          <w:szCs w:val="32"/>
          <w:lang w:eastAsia="zh-CN"/>
        </w:rPr>
        <w:t>机构合并调整</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原属于房产局机关预算人员全部纳入住房保障中心预算，相应人员经费支出减少；二是年底往年结余结转清理</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故年初结转和结余资金减少</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二、收入决算情况说明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4088.08</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4058.08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99.27</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30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0.73</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三、支出决算情况说明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3958.21</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2336.04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59.02</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1622.17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40.98</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四、财政拨款收入支出决算总体情况说明</w:t>
      </w:r>
    </w:p>
    <w:p>
      <w:pPr>
        <w:pStyle w:val="11"/>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 xml:space="preserve">    2020年度财政拨款收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lang w:val="en-US" w:eastAsia="zh-CN"/>
        </w:rPr>
        <w:t>4058.08万元，与上年相比增加583.5万元，增加16.79%，主要原因是一般公共预算财政拨款增加513.5万元</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政府性基金预算拨款增加</w:t>
      </w:r>
      <w:r>
        <w:rPr>
          <w:rFonts w:hint="eastAsia" w:asciiTheme="minorEastAsia" w:hAnsiTheme="minorEastAsia" w:eastAsiaTheme="minorEastAsia"/>
          <w:sz w:val="32"/>
          <w:szCs w:val="32"/>
          <w:lang w:val="en-US" w:eastAsia="zh-CN"/>
        </w:rPr>
        <w:t>70万元；</w:t>
      </w:r>
      <w:r>
        <w:rPr>
          <w:rFonts w:hint="eastAsia" w:asciiTheme="minorEastAsia" w:hAnsiTheme="minorEastAsia" w:eastAsiaTheme="minorEastAsia"/>
          <w:sz w:val="32"/>
          <w:szCs w:val="32"/>
        </w:rPr>
        <w:t>支</w:t>
      </w:r>
      <w:r>
        <w:rPr>
          <w:rFonts w:hint="eastAsia" w:asciiTheme="minorEastAsia" w:hAnsiTheme="minorEastAsia" w:eastAsiaTheme="minorEastAsia"/>
          <w:sz w:val="32"/>
          <w:szCs w:val="32"/>
          <w:lang w:eastAsia="zh-CN"/>
        </w:rPr>
        <w:t>出</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3958.21</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19.04</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0.48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一般公共预算财政拨款减少</w:t>
      </w:r>
      <w:r>
        <w:rPr>
          <w:rFonts w:hint="eastAsia" w:asciiTheme="minorEastAsia" w:hAnsiTheme="minorEastAsia" w:eastAsiaTheme="minorEastAsia"/>
          <w:sz w:val="32"/>
          <w:szCs w:val="32"/>
          <w:lang w:val="en-US" w:eastAsia="zh-CN"/>
        </w:rPr>
        <w:t>50.96万元，政府性基金预算财政拨款增加70万元。</w:t>
      </w:r>
    </w:p>
    <w:p>
      <w:pPr>
        <w:pStyle w:val="11"/>
        <w:rPr>
          <w:rFonts w:hAnsi="黑体"/>
          <w:b/>
          <w:sz w:val="32"/>
          <w:szCs w:val="32"/>
        </w:rPr>
      </w:pPr>
      <w:r>
        <w:rPr>
          <w:rFonts w:hint="eastAsia" w:hAnsi="黑体"/>
          <w:b/>
          <w:sz w:val="32"/>
          <w:szCs w:val="32"/>
        </w:rPr>
        <w:t>五、一般公共预算财政拨款支出决算情况说明</w:t>
      </w:r>
    </w:p>
    <w:p>
      <w:pPr>
        <w:pStyle w:val="11"/>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1"/>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3958.21</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92.58</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19.04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0.48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城乡社区支出增加。</w:t>
      </w:r>
    </w:p>
    <w:p>
      <w:pPr>
        <w:pStyle w:val="11"/>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1"/>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3958.21</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sz w:val="32"/>
          <w:szCs w:val="32"/>
          <w:lang w:eastAsia="zh-CN"/>
        </w:rPr>
        <w:t>社会保障和就业支出</w:t>
      </w:r>
      <w:r>
        <w:rPr>
          <w:rFonts w:hint="eastAsia" w:asciiTheme="minorEastAsia" w:hAnsiTheme="minorEastAsia" w:eastAsiaTheme="minorEastAsia"/>
          <w:sz w:val="32"/>
          <w:szCs w:val="32"/>
          <w:lang w:val="en-US" w:eastAsia="zh-CN"/>
        </w:rPr>
        <w:t>185.3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4.68</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卫生健康</w:t>
      </w:r>
      <w:r>
        <w:rPr>
          <w:rFonts w:hint="eastAsia" w:asciiTheme="minorEastAsia" w:hAnsiTheme="minorEastAsia" w:eastAsiaTheme="minorEastAsia"/>
          <w:sz w:val="32"/>
          <w:szCs w:val="32"/>
        </w:rPr>
        <w:t>支出</w:t>
      </w:r>
      <w:r>
        <w:rPr>
          <w:rFonts w:hint="eastAsia" w:asciiTheme="minorEastAsia" w:hAnsiTheme="minorEastAsia" w:eastAsiaTheme="minorEastAsia"/>
          <w:sz w:val="32"/>
          <w:szCs w:val="32"/>
          <w:lang w:val="en-US" w:eastAsia="zh-CN"/>
        </w:rPr>
        <w:t>79.09</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；节能环保支出</w:t>
      </w:r>
      <w:r>
        <w:rPr>
          <w:rFonts w:hint="eastAsia" w:asciiTheme="minorEastAsia" w:hAnsiTheme="minorEastAsia" w:eastAsiaTheme="minorEastAsia"/>
          <w:sz w:val="32"/>
          <w:szCs w:val="32"/>
          <w:lang w:val="en-US" w:eastAsia="zh-CN"/>
        </w:rPr>
        <w:t>173万元，占4.37%；城乡社区支出3370.83万元，占85.16%；住房保障支出99.98万元，占2.53%，抗疫特别国债安排的支出50万元，占1.26%。</w:t>
      </w:r>
    </w:p>
    <w:p>
      <w:pPr>
        <w:pStyle w:val="11"/>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Theme="minorEastAsia" w:hAnsiTheme="minorEastAsia" w:eastAsiaTheme="minorEastAsia"/>
          <w:sz w:val="32"/>
          <w:szCs w:val="32"/>
          <w:lang w:val="en-US" w:eastAsia="zh-CN"/>
        </w:rPr>
        <w:t>1959.07</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3958.21</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202.05</w:t>
      </w:r>
      <w:r>
        <w:rPr>
          <w:rFonts w:hint="eastAsia" w:asciiTheme="minorEastAsia" w:hAnsiTheme="minorEastAsia" w:eastAsiaTheme="minorEastAsia"/>
          <w:sz w:val="32"/>
          <w:szCs w:val="32"/>
        </w:rPr>
        <w:t>%，其中：</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1、社会保障和就业支出。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181.55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185.3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102.07</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每年工资调增，导致社会保障和就业支出相应增加。</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2、卫生健康支出。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77.43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79.09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102.14</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每年工资调增以及文明卫生单位创建导致健康卫生支出相应增加。</w:t>
      </w:r>
    </w:p>
    <w:p>
      <w:pPr>
        <w:pStyle w:val="11"/>
        <w:numPr>
          <w:ilvl w:val="0"/>
          <w:numId w:val="0"/>
        </w:numPr>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3、节能环保支出。</w:t>
      </w:r>
    </w:p>
    <w:p>
      <w:pPr>
        <w:pStyle w:val="11"/>
        <w:numPr>
          <w:ilvl w:val="0"/>
          <w:numId w:val="0"/>
        </w:numPr>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173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年中追加环保督</w:t>
      </w:r>
      <w:r>
        <w:rPr>
          <w:rFonts w:hint="eastAsia" w:asciiTheme="minorEastAsia" w:hAnsiTheme="minorEastAsia" w:eastAsiaTheme="minorEastAsia"/>
          <w:sz w:val="32"/>
          <w:szCs w:val="32"/>
          <w:lang w:val="en-US" w:eastAsia="zh-CN"/>
        </w:rPr>
        <w:t>察</w:t>
      </w:r>
      <w:r>
        <w:rPr>
          <w:rFonts w:hint="eastAsia" w:asciiTheme="minorEastAsia" w:hAnsiTheme="minorEastAsia" w:eastAsiaTheme="minorEastAsia"/>
          <w:sz w:val="32"/>
          <w:szCs w:val="32"/>
          <w:lang w:eastAsia="zh-CN"/>
        </w:rPr>
        <w:t>项目整治工作，导致该项开支增加。</w:t>
      </w:r>
    </w:p>
    <w:p>
      <w:pPr>
        <w:pStyle w:val="11"/>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4、城乡社区支出。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1602.21</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3370.83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210.39</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城乡社区专项未纳入部门预算支出，年中追加城乡社区专项项目，导致该项开支增加。</w:t>
      </w:r>
    </w:p>
    <w:p>
      <w:pPr>
        <w:pStyle w:val="11"/>
        <w:numPr>
          <w:ilvl w:val="0"/>
          <w:numId w:val="0"/>
        </w:numPr>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5、住房保障支出。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97.88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99.98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102.15</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每年工资调增，导致住房保障支出相应增加。</w:t>
      </w:r>
    </w:p>
    <w:p>
      <w:pPr>
        <w:pStyle w:val="11"/>
        <w:numPr>
          <w:ilvl w:val="0"/>
          <w:numId w:val="1"/>
        </w:numPr>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抗疫特别国债安排的支出。</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50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年中工作安排任务，导致相应开支增加。</w:t>
      </w:r>
    </w:p>
    <w:p>
      <w:pPr>
        <w:pStyle w:val="11"/>
        <w:rPr>
          <w:rFonts w:hAnsi="黑体"/>
          <w:b/>
          <w:sz w:val="32"/>
          <w:szCs w:val="32"/>
        </w:rPr>
      </w:pPr>
      <w:r>
        <w:rPr>
          <w:rFonts w:hint="eastAsia" w:hAnsi="黑体"/>
          <w:b/>
          <w:sz w:val="32"/>
          <w:szCs w:val="32"/>
        </w:rPr>
        <w:t>六、一般公共预算财政拨款基本支出决算情况说明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2336.04</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1960.78</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83.94</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等支出</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375.26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16.06</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eastAsia="zh-CN"/>
        </w:rPr>
        <w:t>等支出</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七、一般公共预算财政拨款三公经费支出决算情况说明</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60.5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3.29</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5.44</w:t>
      </w:r>
      <w:r>
        <w:rPr>
          <w:rFonts w:hint="eastAsia" w:asciiTheme="minorEastAsia" w:hAnsiTheme="minorEastAsia" w:eastAsiaTheme="minorEastAsia"/>
          <w:sz w:val="32"/>
          <w:szCs w:val="32"/>
        </w:rPr>
        <w:t>%，其中：</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，与上年持平</w:t>
      </w:r>
      <w:r>
        <w:rPr>
          <w:rFonts w:hint="eastAsia" w:asciiTheme="minorEastAsia" w:hAnsiTheme="minorEastAsia" w:eastAsiaTheme="minorEastAsia"/>
          <w:sz w:val="32"/>
          <w:szCs w:val="32"/>
        </w:rPr>
        <w:t>。</w:t>
      </w:r>
    </w:p>
    <w:p>
      <w:pPr>
        <w:pStyle w:val="11"/>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39</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0.34</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0.87</w:t>
      </w:r>
      <w:r>
        <w:rPr>
          <w:rFonts w:hint="eastAsia" w:asciiTheme="minorEastAsia" w:hAnsiTheme="minorEastAsia" w:eastAsiaTheme="minorEastAsia"/>
          <w:sz w:val="32"/>
          <w:szCs w:val="32"/>
        </w:rPr>
        <w:t>%，决算数小于预算数的主要原因是我局</w:t>
      </w:r>
      <w:r>
        <w:rPr>
          <w:rFonts w:hint="eastAsia" w:asciiTheme="minorEastAsia" w:hAnsiTheme="minorEastAsia" w:eastAsiaTheme="minorEastAsia"/>
          <w:sz w:val="32"/>
          <w:szCs w:val="32"/>
          <w:lang w:eastAsia="zh-CN"/>
        </w:rPr>
        <w:t>厉行节约压缩开支，决算数与上年相比减少</w:t>
      </w:r>
      <w:r>
        <w:rPr>
          <w:rFonts w:hint="eastAsia" w:asciiTheme="minorEastAsia" w:hAnsiTheme="minorEastAsia" w:eastAsiaTheme="minorEastAsia"/>
          <w:sz w:val="32"/>
          <w:szCs w:val="32"/>
          <w:lang w:val="en-US" w:eastAsia="zh-CN"/>
        </w:rPr>
        <w:t>6.12万元，减少94.74%，减少的主要原因是我局</w:t>
      </w:r>
      <w:r>
        <w:rPr>
          <w:rFonts w:hint="eastAsia" w:asciiTheme="minorEastAsia" w:hAnsiTheme="minorEastAsia" w:eastAsiaTheme="minorEastAsia"/>
          <w:sz w:val="32"/>
          <w:szCs w:val="32"/>
        </w:rPr>
        <w:t>严格遵守中央八项规定，制订完善相关制度，厉行节约，严格控制三公经费支出，故三公经费开支大幅缩减。</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21.5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2.95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13.72</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决算数与上年相比减少</w:t>
      </w:r>
      <w:r>
        <w:rPr>
          <w:rFonts w:hint="eastAsia" w:asciiTheme="minorEastAsia" w:hAnsiTheme="minorEastAsia" w:eastAsiaTheme="minorEastAsia"/>
          <w:sz w:val="32"/>
          <w:szCs w:val="32"/>
          <w:lang w:val="en-US" w:eastAsia="zh-CN"/>
        </w:rPr>
        <w:t>3.06万元，减少50.92%，</w:t>
      </w:r>
      <w:r>
        <w:rPr>
          <w:rFonts w:hint="eastAsia" w:asciiTheme="minorEastAsia" w:hAnsiTheme="minorEastAsia" w:eastAsiaTheme="minorEastAsia"/>
          <w:sz w:val="32"/>
          <w:szCs w:val="32"/>
          <w:lang w:eastAsia="zh-CN"/>
        </w:rPr>
        <w:t>减少</w:t>
      </w:r>
      <w:r>
        <w:rPr>
          <w:rFonts w:hint="eastAsia" w:asciiTheme="minorEastAsia" w:hAnsiTheme="minorEastAsia" w:eastAsiaTheme="minorEastAsia"/>
          <w:sz w:val="32"/>
          <w:szCs w:val="32"/>
        </w:rPr>
        <w:t>的主要原因是一是公车改革后未新增车辆购置，压缩原有公车开支；</w:t>
      </w:r>
      <w:r>
        <w:rPr>
          <w:rFonts w:hint="eastAsia" w:asciiTheme="minorEastAsia" w:hAnsiTheme="minorEastAsia" w:eastAsiaTheme="minorEastAsia"/>
          <w:sz w:val="32"/>
          <w:szCs w:val="32"/>
          <w:lang w:eastAsia="zh-CN"/>
        </w:rPr>
        <w:t>二</w:t>
      </w:r>
      <w:r>
        <w:rPr>
          <w:rFonts w:hint="eastAsia" w:asciiTheme="minorEastAsia" w:hAnsiTheme="minorEastAsia" w:eastAsiaTheme="minorEastAsia"/>
          <w:sz w:val="32"/>
          <w:szCs w:val="32"/>
        </w:rPr>
        <w:t>是我局严格遵守中央八项规定，制订完善相关制度，厉行节约，严格控制三公经费支出，故三公经费开支大幅缩减。</w:t>
      </w:r>
    </w:p>
    <w:p>
      <w:pPr>
        <w:pStyle w:val="11"/>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w:t>
      </w:r>
      <w:r>
        <w:rPr>
          <w:rFonts w:hint="eastAsia" w:asciiTheme="minorEastAsia" w:hAnsiTheme="minorEastAsia" w:eastAsiaTheme="minorEastAsia"/>
          <w:sz w:val="32"/>
          <w:szCs w:val="32"/>
          <w:lang w:val="en-US" w:eastAsia="zh-CN"/>
        </w:rPr>
        <w:t>0.34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10.33</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2.95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89.67</w:t>
      </w:r>
      <w:r>
        <w:rPr>
          <w:rFonts w:hint="eastAsia" w:asciiTheme="minorEastAsia" w:hAnsiTheme="minorEastAsia" w:eastAsiaTheme="minorEastAsia"/>
          <w:sz w:val="32"/>
          <w:szCs w:val="32"/>
        </w:rPr>
        <w:t>%。其中：</w:t>
      </w:r>
    </w:p>
    <w:p>
      <w:pPr>
        <w:pStyle w:val="11"/>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0.34</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18</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农村危房改造迎检、创省级文明卫生城市、环保督</w:t>
      </w:r>
      <w:r>
        <w:rPr>
          <w:rFonts w:hint="eastAsia" w:asciiTheme="minorEastAsia" w:hAnsiTheme="minorEastAsia" w:eastAsiaTheme="minorEastAsia"/>
          <w:sz w:val="32"/>
          <w:szCs w:val="32"/>
          <w:lang w:val="en-US" w:eastAsia="zh-CN"/>
        </w:rPr>
        <w:t>察</w:t>
      </w:r>
      <w:bookmarkStart w:id="3" w:name="_GoBack"/>
      <w:bookmarkEnd w:id="3"/>
      <w:r>
        <w:rPr>
          <w:rFonts w:hint="eastAsia" w:asciiTheme="minorEastAsia" w:hAnsiTheme="minorEastAsia" w:eastAsiaTheme="minorEastAsia"/>
          <w:sz w:val="32"/>
          <w:szCs w:val="32"/>
          <w:lang w:eastAsia="zh-CN"/>
        </w:rPr>
        <w:t>迎检</w:t>
      </w:r>
      <w:r>
        <w:rPr>
          <w:rFonts w:hint="eastAsia" w:asciiTheme="minorEastAsia" w:hAnsiTheme="minorEastAsia" w:eastAsiaTheme="minorEastAsia"/>
          <w:sz w:val="32"/>
          <w:szCs w:val="32"/>
        </w:rPr>
        <w:t>发生的接待支出。</w:t>
      </w:r>
    </w:p>
    <w:p>
      <w:pPr>
        <w:ind w:firstLine="640" w:firstLineChars="20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2.95</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2.95</w:t>
      </w:r>
      <w:r>
        <w:rPr>
          <w:rFonts w:hint="eastAsia" w:asciiTheme="minorEastAsia" w:hAnsiTheme="minorEastAsia"/>
          <w:sz w:val="32"/>
          <w:szCs w:val="32"/>
        </w:rPr>
        <w:t>万元，主要是</w:t>
      </w:r>
      <w:r>
        <w:rPr>
          <w:rFonts w:hint="eastAsia" w:asciiTheme="minorEastAsia" w:hAnsiTheme="minorEastAsia"/>
          <w:sz w:val="32"/>
          <w:szCs w:val="32"/>
          <w:lang w:eastAsia="zh-CN"/>
        </w:rPr>
        <w:t>公车运行维护</w:t>
      </w:r>
      <w:r>
        <w:rPr>
          <w:rFonts w:hint="eastAsia" w:asciiTheme="minorEastAsia" w:hAnsiTheme="minorEastAsia"/>
          <w:sz w:val="32"/>
          <w:szCs w:val="32"/>
        </w:rPr>
        <w:t>支出，截止2020年12月31日，我单位开支财政拨款的公务用车保有量为</w:t>
      </w:r>
      <w:r>
        <w:rPr>
          <w:rFonts w:hint="eastAsia" w:asciiTheme="minorEastAsia" w:hAnsiTheme="minorEastAsia"/>
          <w:sz w:val="32"/>
          <w:szCs w:val="32"/>
          <w:lang w:val="en-US" w:eastAsia="zh-CN"/>
        </w:rPr>
        <w:t>1</w:t>
      </w:r>
      <w:r>
        <w:rPr>
          <w:rFonts w:hint="eastAsia" w:asciiTheme="minorEastAsia" w:hAnsiTheme="minorEastAsia"/>
          <w:sz w:val="32"/>
          <w:szCs w:val="32"/>
        </w:rPr>
        <w:t>辆。</w:t>
      </w:r>
    </w:p>
    <w:p>
      <w:pPr>
        <w:pStyle w:val="11"/>
        <w:rPr>
          <w:rFonts w:hAnsi="黑体"/>
          <w:b/>
          <w:sz w:val="32"/>
          <w:szCs w:val="32"/>
        </w:rPr>
      </w:pPr>
      <w:r>
        <w:rPr>
          <w:rFonts w:hint="eastAsia" w:hAnsi="黑体"/>
          <w:b/>
          <w:sz w:val="32"/>
          <w:szCs w:val="32"/>
        </w:rPr>
        <w:t>八、政府性基金预算收入支出决算情况</w:t>
      </w:r>
    </w:p>
    <w:p>
      <w:pPr>
        <w:pStyle w:val="11"/>
        <w:rPr>
          <w:rFonts w:hint="eastAsia" w:asciiTheme="minorEastAsia" w:hAnsiTheme="minorEastAsia" w:eastAsiaTheme="minorEastAsia"/>
          <w:sz w:val="32"/>
          <w:szCs w:val="32"/>
        </w:rPr>
      </w:pPr>
      <w:r>
        <w:rPr>
          <w:rFonts w:hint="eastAsia" w:asciiTheme="minorEastAsia" w:hAnsiTheme="minorEastAsia" w:eastAsiaTheme="minorEastAsia"/>
          <w:sz w:val="32"/>
          <w:szCs w:val="32"/>
        </w:rPr>
        <w:t xml:space="preserve">     2020年度政府性基金预算财政拨款收入</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w:t>
      </w:r>
    </w:p>
    <w:p>
      <w:pPr>
        <w:pStyle w:val="11"/>
        <w:rPr>
          <w:rFonts w:hAnsi="黑体"/>
          <w:b/>
          <w:sz w:val="32"/>
          <w:szCs w:val="32"/>
        </w:rPr>
      </w:pPr>
      <w:r>
        <w:rPr>
          <w:rFonts w:hint="eastAsia" w:hAnsi="黑体"/>
          <w:b/>
          <w:sz w:val="32"/>
          <w:szCs w:val="32"/>
        </w:rPr>
        <w:t>九、关于机关运行经费支出说明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本部门2020年度机关运行经费支出</w:t>
      </w:r>
      <w:r>
        <w:rPr>
          <w:rFonts w:hint="eastAsia" w:asciiTheme="minorEastAsia" w:hAnsiTheme="minorEastAsia" w:eastAsiaTheme="minorEastAsia"/>
          <w:sz w:val="32"/>
          <w:szCs w:val="32"/>
          <w:lang w:val="en-US" w:eastAsia="zh-CN"/>
        </w:rPr>
        <w:t>375.26</w:t>
      </w:r>
      <w:r>
        <w:rPr>
          <w:rFonts w:hint="eastAsia" w:asciiTheme="minorEastAsia" w:hAnsiTheme="minorEastAsia" w:eastAsiaTheme="minorEastAsia"/>
          <w:sz w:val="32"/>
          <w:szCs w:val="32"/>
        </w:rPr>
        <w:t>万元，比年初预算数增加</w:t>
      </w:r>
      <w:r>
        <w:rPr>
          <w:rFonts w:hint="eastAsia" w:asciiTheme="minorEastAsia" w:hAnsiTheme="minorEastAsia" w:eastAsiaTheme="minorEastAsia"/>
          <w:sz w:val="32"/>
          <w:szCs w:val="32"/>
          <w:lang w:val="en-US" w:eastAsia="zh-CN"/>
        </w:rPr>
        <w:t>18.4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5.16</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社会成本增加导致机关运行经费比预算增加</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十、一般性支出情况</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2020年本部门开支会议费</w:t>
      </w:r>
      <w:r>
        <w:rPr>
          <w:rFonts w:hint="eastAsia" w:asciiTheme="minorEastAsia" w:hAnsiTheme="minorEastAsia" w:eastAsiaTheme="minorEastAsia"/>
          <w:sz w:val="32"/>
          <w:szCs w:val="32"/>
          <w:lang w:val="en-US" w:eastAsia="zh-CN"/>
        </w:rPr>
        <w:t>14.83</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eastAsia="zh-CN"/>
        </w:rPr>
        <w:t>农村危改</w:t>
      </w:r>
      <w:r>
        <w:rPr>
          <w:rFonts w:hint="eastAsia" w:asciiTheme="minorEastAsia" w:hAnsiTheme="minorEastAsia" w:eastAsiaTheme="minorEastAsia"/>
          <w:sz w:val="32"/>
          <w:szCs w:val="32"/>
        </w:rPr>
        <w:t>会议</w:t>
      </w:r>
      <w:r>
        <w:rPr>
          <w:rFonts w:hint="eastAsia" w:asciiTheme="minorEastAsia" w:hAnsiTheme="minorEastAsia" w:eastAsiaTheme="minorEastAsia"/>
          <w:sz w:val="32"/>
          <w:szCs w:val="32"/>
          <w:lang w:eastAsia="zh-CN"/>
        </w:rPr>
        <w:t>、建筑行业年会、党建工作会议</w:t>
      </w:r>
      <w:r>
        <w:rPr>
          <w:rFonts w:hint="eastAsia" w:asciiTheme="minorEastAsia" w:hAnsiTheme="minorEastAsia" w:eastAsiaTheme="minorEastAsia"/>
          <w:sz w:val="32"/>
          <w:szCs w:val="32"/>
        </w:rPr>
        <w:t>，人数</w:t>
      </w:r>
      <w:r>
        <w:rPr>
          <w:rFonts w:hint="eastAsia" w:asciiTheme="minorEastAsia" w:hAnsiTheme="minorEastAsia" w:eastAsiaTheme="minorEastAsia"/>
          <w:sz w:val="32"/>
          <w:szCs w:val="32"/>
          <w:lang w:val="en-US" w:eastAsia="zh-CN"/>
        </w:rPr>
        <w:t>2119</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农村危改、建筑行业年度总结会议、党建会议</w:t>
      </w:r>
      <w:r>
        <w:rPr>
          <w:rFonts w:hint="eastAsia" w:asciiTheme="minorEastAsia" w:hAnsiTheme="minorEastAsia" w:eastAsiaTheme="minorEastAsia"/>
          <w:sz w:val="32"/>
          <w:szCs w:val="32"/>
        </w:rPr>
        <w:t>；开支培训费</w:t>
      </w:r>
      <w:r>
        <w:rPr>
          <w:rFonts w:hint="eastAsia" w:asciiTheme="minorEastAsia" w:hAnsiTheme="minorEastAsia" w:eastAsiaTheme="minorEastAsia"/>
          <w:sz w:val="32"/>
          <w:szCs w:val="32"/>
          <w:lang w:val="en-US" w:eastAsia="zh-CN"/>
        </w:rPr>
        <w:t>8.13</w:t>
      </w:r>
      <w:r>
        <w:rPr>
          <w:rFonts w:hint="eastAsia" w:asciiTheme="minorEastAsia" w:hAnsiTheme="minorEastAsia" w:eastAsiaTheme="minorEastAsia"/>
          <w:sz w:val="32"/>
          <w:szCs w:val="32"/>
        </w:rPr>
        <w:t>万元，用于开展</w:t>
      </w:r>
      <w:r>
        <w:rPr>
          <w:rFonts w:hint="eastAsia" w:asciiTheme="minorEastAsia" w:hAnsiTheme="minorEastAsia" w:eastAsiaTheme="minorEastAsia"/>
          <w:sz w:val="32"/>
          <w:szCs w:val="32"/>
          <w:lang w:eastAsia="zh-CN"/>
        </w:rPr>
        <w:t>农村建筑工匠</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407</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建筑工匠技能培训</w:t>
      </w:r>
      <w:r>
        <w:rPr>
          <w:rFonts w:hint="eastAsia" w:asciiTheme="minorEastAsia" w:hAnsiTheme="minorEastAsia" w:eastAsiaTheme="minorEastAsia"/>
          <w:sz w:val="32"/>
          <w:szCs w:val="32"/>
        </w:rPr>
        <w:t>。</w:t>
      </w:r>
    </w:p>
    <w:p>
      <w:pPr>
        <w:pStyle w:val="11"/>
        <w:rPr>
          <w:rFonts w:hAnsi="黑体"/>
          <w:b/>
          <w:sz w:val="32"/>
          <w:szCs w:val="32"/>
        </w:rPr>
      </w:pPr>
      <w:r>
        <w:rPr>
          <w:rFonts w:hint="eastAsia" w:hAnsi="黑体"/>
          <w:b/>
          <w:sz w:val="32"/>
          <w:szCs w:val="32"/>
        </w:rPr>
        <w:t>十一、关于政府采购支出说明</w:t>
      </w:r>
    </w:p>
    <w:p>
      <w:pPr>
        <w:pStyle w:val="11"/>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本部门2020年度政府采购支出总额</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万元。其中：授予小微企业合同金额</w:t>
      </w:r>
      <w:r>
        <w:rPr>
          <w:rFonts w:hint="eastAsia" w:asciiTheme="minorEastAsia" w:hAnsiTheme="minorEastAsia" w:eastAsiaTheme="minorEastAsia"/>
          <w:sz w:val="32"/>
          <w:szCs w:val="32"/>
          <w:lang w:val="en-US" w:eastAsia="zh-CN"/>
        </w:rPr>
        <w:t>8.8</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p>
    <w:p>
      <w:pPr>
        <w:pStyle w:val="11"/>
        <w:rPr>
          <w:rFonts w:hAnsi="黑体"/>
          <w:b/>
          <w:sz w:val="32"/>
          <w:szCs w:val="32"/>
          <w:highlight w:val="yellow"/>
        </w:rPr>
      </w:pPr>
      <w:r>
        <w:rPr>
          <w:rFonts w:hint="eastAsia" w:hAnsi="黑体"/>
          <w:b/>
          <w:sz w:val="32"/>
          <w:szCs w:val="32"/>
          <w:highlight w:val="yellow"/>
        </w:rPr>
        <w:t>十二、关于国有资产占用情况说明</w:t>
      </w:r>
    </w:p>
    <w:p>
      <w:pPr>
        <w:pStyle w:val="11"/>
        <w:ind w:firstLine="640" w:firstLineChars="200"/>
        <w:rPr>
          <w:rFonts w:asciiTheme="minorEastAsia" w:hAnsiTheme="minorEastAsia" w:eastAsiaTheme="minorEastAsia"/>
          <w:sz w:val="32"/>
          <w:szCs w:val="32"/>
          <w:highlight w:val="yellow"/>
        </w:rPr>
      </w:pPr>
      <w:r>
        <w:rPr>
          <w:rFonts w:hint="eastAsia" w:asciiTheme="minorEastAsia" w:hAnsiTheme="minorEastAsia" w:eastAsiaTheme="minorEastAsia"/>
          <w:sz w:val="32"/>
          <w:szCs w:val="32"/>
          <w:highlight w:val="yellow"/>
        </w:rPr>
        <w:t>截至2020年12月31日，本单位共有车辆</w:t>
      </w:r>
      <w:r>
        <w:rPr>
          <w:rFonts w:hint="eastAsia" w:asciiTheme="minorEastAsia" w:hAnsiTheme="minorEastAsia" w:eastAsiaTheme="minorEastAsia"/>
          <w:sz w:val="32"/>
          <w:szCs w:val="32"/>
          <w:highlight w:val="yellow"/>
          <w:lang w:val="en-US" w:eastAsia="zh-CN"/>
        </w:rPr>
        <w:t>1</w:t>
      </w:r>
      <w:r>
        <w:rPr>
          <w:rFonts w:hint="eastAsia" w:asciiTheme="minorEastAsia" w:hAnsiTheme="minorEastAsia" w:eastAsiaTheme="minorEastAsia"/>
          <w:sz w:val="32"/>
          <w:szCs w:val="32"/>
          <w:highlight w:val="yellow"/>
        </w:rPr>
        <w:t>辆，其中，执法执勤用车</w:t>
      </w:r>
      <w:r>
        <w:rPr>
          <w:rFonts w:hint="eastAsia" w:asciiTheme="minorEastAsia" w:hAnsiTheme="minorEastAsia" w:eastAsiaTheme="minorEastAsia"/>
          <w:sz w:val="32"/>
          <w:szCs w:val="32"/>
          <w:highlight w:val="yellow"/>
          <w:lang w:val="en-US" w:eastAsia="zh-CN"/>
        </w:rPr>
        <w:t>1</w:t>
      </w:r>
      <w:r>
        <w:rPr>
          <w:rFonts w:hint="eastAsia" w:asciiTheme="minorEastAsia" w:hAnsiTheme="minorEastAsia" w:eastAsiaTheme="minorEastAsia"/>
          <w:sz w:val="32"/>
          <w:szCs w:val="32"/>
          <w:highlight w:val="yellow"/>
        </w:rPr>
        <w:t>辆</w:t>
      </w:r>
      <w:r>
        <w:rPr>
          <w:rFonts w:hint="eastAsia" w:asciiTheme="minorEastAsia" w:hAnsiTheme="minorEastAsia" w:eastAsiaTheme="minorEastAsia"/>
          <w:sz w:val="32"/>
          <w:szCs w:val="32"/>
          <w:highlight w:val="yellow"/>
          <w:lang w:eastAsia="zh-CN"/>
        </w:rPr>
        <w:t>，</w:t>
      </w:r>
      <w:r>
        <w:rPr>
          <w:rFonts w:hint="eastAsia" w:asciiTheme="minorEastAsia" w:hAnsiTheme="minorEastAsia" w:eastAsiaTheme="minorEastAsia"/>
          <w:sz w:val="32"/>
          <w:szCs w:val="32"/>
          <w:highlight w:val="yellow"/>
          <w:lang w:val="en-US" w:eastAsia="zh-CN"/>
        </w:rPr>
        <w:t>其他按照规定配备的公务用车1辆</w:t>
      </w:r>
      <w:r>
        <w:rPr>
          <w:rFonts w:hint="eastAsia" w:asciiTheme="minorEastAsia" w:hAnsiTheme="minorEastAsia" w:eastAsiaTheme="minorEastAsia"/>
          <w:sz w:val="32"/>
          <w:szCs w:val="32"/>
          <w:highlight w:val="yellow"/>
        </w:rPr>
        <w:t>；单位价值50万元以上通用设备</w:t>
      </w:r>
      <w:r>
        <w:rPr>
          <w:rFonts w:hint="eastAsia" w:asciiTheme="minorEastAsia" w:hAnsiTheme="minorEastAsia" w:eastAsiaTheme="minorEastAsia"/>
          <w:sz w:val="32"/>
          <w:szCs w:val="32"/>
          <w:highlight w:val="yellow"/>
          <w:lang w:val="en-US" w:eastAsia="zh-CN"/>
        </w:rPr>
        <w:t>0</w:t>
      </w:r>
      <w:r>
        <w:rPr>
          <w:rFonts w:hint="eastAsia" w:asciiTheme="minorEastAsia" w:hAnsiTheme="minorEastAsia" w:eastAsiaTheme="minorEastAsia"/>
          <w:sz w:val="32"/>
          <w:szCs w:val="32"/>
          <w:highlight w:val="yellow"/>
        </w:rPr>
        <w:t>台（套）；单位价值100万元以上专用设备</w:t>
      </w:r>
      <w:r>
        <w:rPr>
          <w:rFonts w:hint="eastAsia" w:asciiTheme="minorEastAsia" w:hAnsiTheme="minorEastAsia" w:eastAsiaTheme="minorEastAsia"/>
          <w:sz w:val="32"/>
          <w:szCs w:val="32"/>
          <w:highlight w:val="yellow"/>
          <w:lang w:val="en-US" w:eastAsia="zh-CN"/>
        </w:rPr>
        <w:t>0</w:t>
      </w:r>
      <w:r>
        <w:rPr>
          <w:rFonts w:hint="eastAsia" w:asciiTheme="minorEastAsia" w:hAnsiTheme="minorEastAsia" w:eastAsiaTheme="minorEastAsia"/>
          <w:sz w:val="32"/>
          <w:szCs w:val="32"/>
          <w:highlight w:val="yellow"/>
        </w:rPr>
        <w:t>台（套）。</w:t>
      </w:r>
    </w:p>
    <w:p>
      <w:pPr>
        <w:pStyle w:val="11"/>
        <w:rPr>
          <w:rFonts w:hAnsi="黑体"/>
          <w:b/>
          <w:sz w:val="32"/>
          <w:szCs w:val="32"/>
        </w:rPr>
      </w:pPr>
      <w:r>
        <w:rPr>
          <w:rFonts w:hint="eastAsia" w:hAnsi="黑体"/>
          <w:b/>
          <w:sz w:val="32"/>
          <w:szCs w:val="32"/>
        </w:rPr>
        <w:t>十三、关于2020年度预算绩效情况的说明</w:t>
      </w:r>
    </w:p>
    <w:p>
      <w:pPr>
        <w:ind w:firstLine="640" w:firstLineChars="200"/>
        <w:rPr>
          <w:rFonts w:hint="eastAsia" w:ascii="仿宋_GB2312" w:hAnsi="仿宋_GB2312" w:eastAsia="仿宋_GB2312" w:cs="仿宋_GB2312"/>
          <w:kern w:val="0"/>
          <w:sz w:val="32"/>
          <w:szCs w:val="32"/>
        </w:rPr>
      </w:pPr>
      <w:r>
        <w:rPr>
          <w:rFonts w:hint="eastAsia" w:cs="黑体" w:asciiTheme="minorEastAsia" w:hAnsiTheme="minorEastAsia" w:eastAsiaTheme="minorEastAsia"/>
          <w:color w:val="000000"/>
          <w:kern w:val="0"/>
          <w:sz w:val="32"/>
          <w:szCs w:val="32"/>
          <w:lang w:val="en-US" w:eastAsia="zh-CN" w:bidi="ar-SA"/>
        </w:rPr>
        <w:t>本系统秉持“编制有目标，执行有监控、完成有评价、评价有反馈、反馈有运用”全过程预算绩效管理模式的要求，对绩效管理的职责、目标、指标、绩效预算编制、绩效预算执行、绩效预算评价、绩效预算监督、绩效评价结果应用等方面做出了明确的规定，整体预算绩效管理工作取得了一定的成效。20</w:t>
      </w:r>
      <w:r>
        <w:rPr>
          <w:rFonts w:hint="eastAsia" w:cs="黑体" w:asciiTheme="minorEastAsia" w:hAnsiTheme="minorEastAsia"/>
          <w:color w:val="000000"/>
          <w:kern w:val="0"/>
          <w:sz w:val="32"/>
          <w:szCs w:val="32"/>
          <w:lang w:val="en-US" w:eastAsia="zh-CN" w:bidi="ar-SA"/>
        </w:rPr>
        <w:t>20</w:t>
      </w:r>
      <w:r>
        <w:rPr>
          <w:rFonts w:hint="eastAsia" w:cs="黑体" w:asciiTheme="minorEastAsia" w:hAnsiTheme="minorEastAsia" w:eastAsiaTheme="minorEastAsia"/>
          <w:color w:val="000000"/>
          <w:kern w:val="0"/>
          <w:sz w:val="32"/>
          <w:szCs w:val="32"/>
          <w:lang w:val="en-US" w:eastAsia="zh-CN" w:bidi="ar-SA"/>
        </w:rPr>
        <w:t>年整体支出绩效目标全部完成，自评整体评价为良好。</w:t>
      </w:r>
    </w:p>
    <w:p>
      <w:pPr>
        <w:pStyle w:val="11"/>
        <w:rPr>
          <w:rFonts w:asciiTheme="minorEastAsia" w:hAnsiTheme="minorEastAsia" w:eastAsiaTheme="minorEastAsia"/>
          <w:sz w:val="32"/>
          <w:szCs w:val="32"/>
        </w:rPr>
      </w:pPr>
    </w:p>
    <w:p>
      <w:pPr>
        <w:pStyle w:val="11"/>
        <w:rPr>
          <w:rFonts w:hAnsi="黑体"/>
          <w:b/>
          <w:sz w:val="32"/>
          <w:szCs w:val="32"/>
        </w:rPr>
      </w:pPr>
    </w:p>
    <w:p>
      <w:pPr>
        <w:pStyle w:val="11"/>
        <w:jc w:val="center"/>
        <w:rPr>
          <w:sz w:val="72"/>
          <w:szCs w:val="72"/>
        </w:rPr>
      </w:pPr>
    </w:p>
    <w:p>
      <w:pPr>
        <w:pStyle w:val="11"/>
        <w:jc w:val="center"/>
        <w:rPr>
          <w:sz w:val="72"/>
          <w:szCs w:val="72"/>
        </w:rPr>
      </w:pPr>
    </w:p>
    <w:p>
      <w:pPr>
        <w:pStyle w:val="11"/>
        <w:jc w:val="both"/>
        <w:rPr>
          <w:sz w:val="72"/>
          <w:szCs w:val="72"/>
        </w:rPr>
      </w:pPr>
    </w:p>
    <w:p>
      <w:pPr>
        <w:pStyle w:val="11"/>
        <w:jc w:val="both"/>
        <w:rPr>
          <w:sz w:val="72"/>
          <w:szCs w:val="72"/>
        </w:rPr>
      </w:pPr>
    </w:p>
    <w:p>
      <w:pPr>
        <w:pStyle w:val="11"/>
        <w:jc w:val="both"/>
        <w:rPr>
          <w:sz w:val="72"/>
          <w:szCs w:val="72"/>
        </w:rPr>
      </w:pPr>
    </w:p>
    <w:p>
      <w:pPr>
        <w:pStyle w:val="11"/>
        <w:jc w:val="both"/>
        <w:rPr>
          <w:sz w:val="72"/>
          <w:szCs w:val="72"/>
        </w:rPr>
      </w:pPr>
    </w:p>
    <w:p>
      <w:pPr>
        <w:pStyle w:val="11"/>
        <w:jc w:val="center"/>
        <w:rPr>
          <w:rFonts w:hint="eastAsia"/>
          <w:sz w:val="72"/>
          <w:szCs w:val="72"/>
        </w:rPr>
      </w:pPr>
    </w:p>
    <w:p>
      <w:pPr>
        <w:pStyle w:val="11"/>
        <w:jc w:val="both"/>
        <w:rPr>
          <w:rFonts w:hint="eastAsia"/>
          <w:sz w:val="72"/>
          <w:szCs w:val="72"/>
        </w:rPr>
      </w:pPr>
    </w:p>
    <w:p>
      <w:pPr>
        <w:pStyle w:val="11"/>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cs="黑体" w:asciiTheme="minorEastAsia" w:hAnsiTheme="minorEastAsia"/>
          <w:color w:val="000000"/>
          <w:kern w:val="0"/>
          <w:sz w:val="32"/>
          <w:szCs w:val="32"/>
        </w:rPr>
      </w:pPr>
      <w:r>
        <w:rPr>
          <w:rFonts w:ascii="黑体" w:eastAsia="黑体" w:cs="黑体"/>
          <w:color w:val="000000"/>
          <w:kern w:val="0"/>
          <w:sz w:val="70"/>
          <w:szCs w:val="70"/>
        </w:rPr>
        <w:br w:type="page"/>
      </w:r>
    </w:p>
    <w:p>
      <w:pPr>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w:t>
      </w:r>
    </w:p>
    <w:p>
      <w:pPr>
        <w:ind w:firstLine="640" w:firstLineChars="200"/>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二、“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center"/>
        <w:rPr>
          <w:sz w:val="72"/>
          <w:szCs w:val="72"/>
        </w:rPr>
      </w:pPr>
    </w:p>
    <w:p>
      <w:pPr>
        <w:pStyle w:val="11"/>
        <w:jc w:val="both"/>
        <w:rPr>
          <w:sz w:val="72"/>
          <w:szCs w:val="72"/>
        </w:rPr>
      </w:pPr>
    </w:p>
    <w:p>
      <w:pPr>
        <w:pStyle w:val="11"/>
        <w:jc w:val="both"/>
        <w:rPr>
          <w:sz w:val="72"/>
          <w:szCs w:val="72"/>
        </w:rPr>
      </w:pPr>
    </w:p>
    <w:p>
      <w:pPr>
        <w:pStyle w:val="11"/>
        <w:jc w:val="both"/>
        <w:rPr>
          <w:sz w:val="72"/>
          <w:szCs w:val="72"/>
        </w:rPr>
      </w:pPr>
    </w:p>
    <w:p>
      <w:pPr>
        <w:pStyle w:val="11"/>
        <w:jc w:val="both"/>
        <w:rPr>
          <w:sz w:val="72"/>
          <w:szCs w:val="72"/>
        </w:rPr>
      </w:pPr>
    </w:p>
    <w:p>
      <w:pPr>
        <w:pStyle w:val="11"/>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hint="eastAsia" w:ascii="黑体" w:hAnsi="黑体" w:eastAsia="黑体" w:cs="黑体"/>
          <w:color w:val="000000"/>
          <w:kern w:val="0"/>
          <w:sz w:val="32"/>
          <w:szCs w:val="32"/>
          <w:lang w:val="en-US" w:eastAsia="zh-CN"/>
        </w:rPr>
      </w:pPr>
    </w:p>
    <w:p>
      <w:pPr>
        <w:pStyle w:val="2"/>
        <w:rPr>
          <w:rFonts w:hint="eastAsia" w:ascii="黑体" w:hAnsi="黑体" w:eastAsia="黑体" w:cs="黑体"/>
          <w:color w:val="000000"/>
          <w:kern w:val="0"/>
          <w:sz w:val="32"/>
          <w:szCs w:val="32"/>
          <w:lang w:val="en-US" w:eastAsia="zh-CN"/>
        </w:rPr>
      </w:pPr>
    </w:p>
    <w:p>
      <w:pPr>
        <w:rPr>
          <w:rFonts w:hint="eastAsia" w:ascii="黑体" w:hAnsi="黑体" w:eastAsia="黑体" w:cs="黑体"/>
          <w:color w:val="000000"/>
          <w:kern w:val="0"/>
          <w:sz w:val="32"/>
          <w:szCs w:val="32"/>
          <w:lang w:val="en-US" w:eastAsia="zh-CN"/>
        </w:rPr>
      </w:pPr>
    </w:p>
    <w:p>
      <w:pPr>
        <w:pStyle w:val="2"/>
        <w:rPr>
          <w:rFonts w:hint="eastAsia" w:ascii="黑体" w:hAnsi="黑体" w:eastAsia="黑体" w:cs="黑体"/>
          <w:color w:val="000000"/>
          <w:kern w:val="0"/>
          <w:sz w:val="32"/>
          <w:szCs w:val="32"/>
          <w:lang w:val="en-US" w:eastAsia="zh-CN"/>
        </w:rPr>
      </w:pPr>
    </w:p>
    <w:p>
      <w:pPr>
        <w:rPr>
          <w:rFonts w:hint="eastAsia" w:ascii="黑体" w:hAnsi="黑体" w:eastAsia="黑体" w:cs="黑体"/>
          <w:color w:val="000000"/>
          <w:kern w:val="0"/>
          <w:sz w:val="32"/>
          <w:szCs w:val="32"/>
          <w:lang w:val="en-US" w:eastAsia="zh-CN"/>
        </w:rPr>
      </w:pPr>
    </w:p>
    <w:p>
      <w:pPr>
        <w:pStyle w:val="2"/>
        <w:rPr>
          <w:rFonts w:hint="eastAsia" w:ascii="黑体" w:hAnsi="黑体" w:eastAsia="黑体" w:cs="黑体"/>
          <w:color w:val="000000"/>
          <w:kern w:val="0"/>
          <w:sz w:val="32"/>
          <w:szCs w:val="32"/>
          <w:lang w:val="en-US" w:eastAsia="zh-CN"/>
        </w:rPr>
      </w:pPr>
    </w:p>
    <w:p>
      <w:pPr>
        <w:rPr>
          <w:rFonts w:hint="eastAsia" w:ascii="黑体" w:hAnsi="黑体" w:eastAsia="黑体" w:cs="黑体"/>
          <w:color w:val="000000"/>
          <w:kern w:val="0"/>
          <w:sz w:val="32"/>
          <w:szCs w:val="32"/>
          <w:lang w:val="en-US" w:eastAsia="zh-CN"/>
        </w:rPr>
      </w:pPr>
    </w:p>
    <w:p>
      <w:pPr>
        <w:pStyle w:val="2"/>
        <w:rPr>
          <w:rFonts w:hint="eastAsia" w:ascii="黑体" w:hAnsi="黑体" w:eastAsia="黑体" w:cs="黑体"/>
          <w:color w:val="000000"/>
          <w:kern w:val="0"/>
          <w:sz w:val="32"/>
          <w:szCs w:val="32"/>
          <w:lang w:val="en-US" w:eastAsia="zh-CN"/>
        </w:rPr>
      </w:pPr>
    </w:p>
    <w:p>
      <w:pPr>
        <w:rPr>
          <w:rFonts w:hint="eastAsia" w:ascii="黑体" w:hAnsi="黑体" w:eastAsia="黑体" w:cs="黑体"/>
          <w:color w:val="000000"/>
          <w:kern w:val="0"/>
          <w:sz w:val="32"/>
          <w:szCs w:val="32"/>
          <w:lang w:val="en-US" w:eastAsia="zh-CN"/>
        </w:rPr>
      </w:pPr>
    </w:p>
    <w:p>
      <w:pPr>
        <w:pStyle w:val="2"/>
        <w:rPr>
          <w:rFonts w:hint="eastAsia" w:ascii="黑体" w:hAnsi="黑体" w:eastAsia="黑体" w:cs="黑体"/>
          <w:color w:val="000000"/>
          <w:kern w:val="0"/>
          <w:sz w:val="32"/>
          <w:szCs w:val="32"/>
          <w:lang w:val="en-US" w:eastAsia="zh-CN"/>
        </w:rPr>
      </w:pPr>
    </w:p>
    <w:p>
      <w:pPr>
        <w:rPr>
          <w:rFonts w:hint="eastAsia" w:ascii="黑体" w:hAnsi="黑体" w:eastAsia="黑体" w:cs="黑体"/>
          <w:color w:val="000000"/>
          <w:kern w:val="0"/>
          <w:sz w:val="32"/>
          <w:szCs w:val="32"/>
          <w:lang w:val="en-US" w:eastAsia="zh-CN"/>
        </w:rPr>
      </w:pPr>
    </w:p>
    <w:p>
      <w:pPr>
        <w:pStyle w:val="2"/>
        <w:rPr>
          <w:rFonts w:hint="eastAsia" w:ascii="黑体" w:hAnsi="黑体" w:eastAsia="黑体" w:cs="黑体"/>
          <w:color w:val="000000"/>
          <w:kern w:val="0"/>
          <w:sz w:val="32"/>
          <w:szCs w:val="32"/>
          <w:lang w:val="en-US" w:eastAsia="zh-CN"/>
        </w:rPr>
      </w:pPr>
    </w:p>
    <w:p>
      <w:pPr>
        <w:rPr>
          <w:rFonts w:hint="eastAsia" w:ascii="黑体" w:hAnsi="黑体" w:eastAsia="黑体" w:cs="黑体"/>
          <w:color w:val="000000"/>
          <w:kern w:val="0"/>
          <w:sz w:val="32"/>
          <w:szCs w:val="32"/>
          <w:lang w:val="en-US" w:eastAsia="zh-CN"/>
        </w:rPr>
      </w:pPr>
    </w:p>
    <w:p>
      <w:pPr>
        <w:pStyle w:val="2"/>
        <w:rPr>
          <w:rFonts w:hint="eastAsia"/>
          <w:lang w:val="en-US" w:eastAsia="zh-CN"/>
        </w:rPr>
      </w:pPr>
    </w:p>
    <w:p>
      <w:pPr>
        <w:jc w:val="both"/>
        <w:rPr>
          <w:rFonts w:hint="eastAsia" w:ascii="黑体" w:hAnsi="黑体" w:eastAsia="黑体" w:cs="黑体"/>
          <w:color w:val="000000"/>
          <w:kern w:val="0"/>
          <w:sz w:val="32"/>
          <w:szCs w:val="32"/>
          <w:lang w:val="en-US" w:eastAsia="zh-CN"/>
        </w:rPr>
      </w:pPr>
    </w:p>
    <w:p>
      <w:pPr>
        <w:jc w:val="both"/>
        <w:rPr>
          <w:rFonts w:hint="eastAsia" w:ascii="宋体" w:hAnsi="宋体" w:eastAsia="宋体" w:cs="宋体"/>
          <w:b/>
          <w:bCs/>
          <w:sz w:val="44"/>
          <w:szCs w:val="44"/>
          <w:lang w:val="en-US" w:eastAsia="zh-CN"/>
        </w:rPr>
      </w:pPr>
      <w:r>
        <w:rPr>
          <w:rFonts w:hint="eastAsia" w:ascii="黑体" w:hAnsi="黑体" w:eastAsia="黑体" w:cs="黑体"/>
          <w:color w:val="000000"/>
          <w:kern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宋体" w:hAnsi="宋体" w:eastAsia="宋体" w:cs="宋体"/>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湘乡市住房和城乡建设局2020年部门整体支出</w:t>
      </w: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绩效自评报告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一、部门概况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（一）机构设置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湘乡市住房和城乡建设局现设机构有办公室、法规股、审批服务股、住房保障股、城市排水管理股、建筑工程管理股、房产综合开发管理股、质量安全管理股、城市村镇建设管理股、城建档案馆、人防工程建设管理股、指挥通信股、物业管理股、建设工程招标投标管理股、科技设计管理股（造价管理站）、财务股、党建办公室、人事股；局下辖湘乡市建设工程质量安全监督站、湘乡市住房保障服务中心、湘乡市墙体材料改革办公室(湘乡市散装水泥管理办公室)三个独立核算二级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（二）人员情况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至本年末，机关在职编制人数109人，实有人数109人，另退休人员100人，共计209人。本年因机构合并，城建综合开发公司、湘房公司（棚户公司）、信源物业公司于今年3月划归城乡集团管理。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(三）职能职责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2.加快建立全市多主体供给、多渠道保障、租购并举的住房制度，拟订全市住房建设规划并指导实施，培育和完善房产市场。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8.承担全市建设工程勘察设计、建筑设计市场管理的工作。负责全市建设工程勘察、设计及建筑装饰设计等行业资质管理工作；负责各类建设项目初步设计审批；指导、检查全市勘察设计行业的工作。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9.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10.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11.承担推进全市建筑节能与建设科技进步的工作。拟订全市建筑节能政策建议及组织实施；制定建设行业科技发展规划；组织重大科技项目攻关和新技术开发利用；管理行业科技成果。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12.负责指导全市城建档案的管理指导监督、管理全市建设工程竣工档案工作；审查、认证、验收工程竣工档案，负责城市建设档案的收集、整理及城建档案信息的开发、利用。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13.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14.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15.负责全市墙体材料、散装水泥的推广应用工作，编制我市推广应用新墙材、散装水泥的中长期规划和年度计划并监督实施；负责墙体改革和散装水泥推广应用方面的信息交流、职工培训、宣传教育和统计工作。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16.贯彻执行国家、省、湘潭市关于人民防空工作的方针政策和法律法规，组织拟订全市人民防空工作的基本战备方案，组织编制全市人民防空建设中长期发展规划和年度工作计划，经批准后组织实施。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17.制定和组织实施城市防空袭方案和各项保障方案、群众防空组织（人民防空专业队）建设和训练、防空防灾演习演练、疏散体系建设，协助军事部门组织指导城市防卫建设。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18.战时组织开展城市人民防空袭斗争，组织指挥人民防空疏散和隐蔽，依法组织实施灯火管制和发放防空袭警报，配合要地防空和城市防卫作战，组织有关部门恢复生产和生活秩序，消除空袭后果。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19.组织管理人民防空通信警报和信息化建设。对人民防空通信警报网和信息化建设实施计划、技术和质量管理，负责保障全市人民防空通信警报畅通。负责对全市人民防空无线电进行管理。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20.会同有关部门组织开展人民防空宣传教育工作，普及人民防空知识和技能。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21.管理人民防空经费和资产，负责编制市本级人民防空经费预决算，并对使用情况实施监督检查。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22.承担市人民政府赋予的应急救援任务，利用人防设施和人民防空专业队伍为应急救援服务。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23.指导相关行业协会的工作。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24.负责国有土地上房屋征收管理行政职能。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25.负责全市建设工程消防设计审查验收工作。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26.负责全市在建工程项目起重机械设备监管工作。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27.承办上级交办的其他事项。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二、部门整体支出管理及使用情况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1、年初预算情况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我局机关财政部门预算收入为2022.07万元，其中经费拨款收入1988.77万元，纳入公共财政预算管理的非税收入33.3万元。2020年我局机关财政部门预算支出2022.07为万元。其中：基本支出预算1613.47万元；项目支出预算408.6万元。</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年中追加和调减预算情况。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color w:val="auto"/>
          <w:lang w:val="en-US" w:eastAsia="zh-CN"/>
        </w:rPr>
      </w:pPr>
      <w:r>
        <w:rPr>
          <w:rFonts w:hint="eastAsia" w:ascii="仿宋" w:hAnsi="仿宋" w:eastAsia="仿宋" w:cs="仿宋"/>
          <w:color w:val="auto"/>
          <w:sz w:val="32"/>
          <w:szCs w:val="32"/>
          <w:lang w:val="en-US" w:eastAsia="zh-CN"/>
        </w:rPr>
        <w:t>2020年追加与调减相抵后全年共计增加预算859.01万元。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因政府工作安排，全</w:t>
      </w:r>
      <w:r>
        <w:rPr>
          <w:rFonts w:hint="eastAsia" w:ascii="仿宋" w:hAnsi="仿宋" w:eastAsia="仿宋" w:cs="仿宋"/>
          <w:sz w:val="32"/>
          <w:szCs w:val="32"/>
          <w:lang w:val="en-US" w:eastAsia="zh-CN"/>
        </w:rPr>
        <w:t>年共追加预算2283.03万元，具体为：（1）增加城乡社区事务建设维护专项支出预算1246.91万元，排水管网及信息平台建设50万元、新型城镇化地区奖补资金50万元、城市精细化管理解决危改工作经费50万元、城市黑臭水整治273.6万元、中央隔离带设施建设123.65万元、施工图审服务费87.78万元、小区物业管理费用105万元、洙津渡饮用水源地保护建设234.84万元、污水主干管建设19.54万元、建筑工匠培训10万元、乡镇污水处理厂建设35万元、历史房屋等遗留问题4.5万元、欧家港污水整治173万元、城建线项目申报、答辩、评估、验收等30万元；（2）增加基本支出290.12万元，2018年度全市科技领导班子绩效考核良好单位136.34万元、解决房博会相关费用75万元、解决协助工作经费18.37万元、解决非税超收收入奖励经费10万元、解决2019.10.1-2020.6.30日人员异动、事业人员公车补贴、职务职级并行费用49.31万元、解决2019年科级领导班子绩效考核奖励1.1万元；（3）增加人防开支80万元；（4）上级安排工作增加支出666万元，新增国债支出600万元，新增农村双改奖补资金16万元，下达2020年抗疫特别国债资金50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70C0"/>
          <w:sz w:val="32"/>
          <w:szCs w:val="32"/>
          <w:lang w:val="en-US" w:eastAsia="zh-CN"/>
        </w:rPr>
      </w:pPr>
      <w:r>
        <w:rPr>
          <w:rFonts w:hint="eastAsia" w:ascii="仿宋" w:hAnsi="仿宋" w:eastAsia="仿宋" w:cs="仿宋"/>
          <w:sz w:val="32"/>
          <w:szCs w:val="32"/>
          <w:lang w:val="en-US" w:eastAsia="zh-CN"/>
        </w:rPr>
        <w:t>2020年全年调减预算指标1424.02万元，具体为：（1）解决2019年群众工作奖惩，公众安全感测评排名靠后单位减指标2万元；（2）指标扣回16万元；（3）解决窗口单位工作人员岗位津贴代扣5.76万元；（4）2020年工会经费代扣3.26万元；（5）扣减2019年度城市黑臭水整治上级已安排资金173万元；（6）2020年度结余结转资金清理1240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全年总预算情况。全年总预算2881.08万元。其中：2020年财政部门预算2022.07万元，年中增加城乡社区专项预算支出1246.91万元，增加基本支出290.12万元，增加人防开支80万元，上级安排工作增加支出666万元，全年调减1424.02万元。</w:t>
      </w:r>
    </w:p>
    <w:p>
      <w:pPr>
        <w:pStyle w:val="2"/>
        <w:numPr>
          <w:ilvl w:val="0"/>
          <w:numId w:val="0"/>
        </w:numPr>
        <w:rPr>
          <w:rFonts w:hint="eastAsia" w:ascii="仿宋" w:hAnsi="仿宋" w:eastAsia="仿宋" w:cs="仿宋"/>
          <w:color w:val="auto"/>
          <w:kern w:val="2"/>
          <w:sz w:val="32"/>
          <w:szCs w:val="32"/>
          <w:lang w:val="en-US" w:eastAsia="zh-CN" w:bidi="ar-SA"/>
        </w:rPr>
      </w:pPr>
      <w:r>
        <w:rPr>
          <w:rFonts w:hint="eastAsia"/>
          <w:lang w:val="en-US" w:eastAsia="zh-CN"/>
        </w:rPr>
        <w:t xml:space="preserve"> </w:t>
      </w:r>
      <w:r>
        <w:rPr>
          <w:rFonts w:hint="eastAsia"/>
          <w:color w:val="auto"/>
          <w:lang w:val="en-US" w:eastAsia="zh-CN"/>
        </w:rPr>
        <w:t xml:space="preserve"> </w:t>
      </w:r>
      <w:r>
        <w:rPr>
          <w:rFonts w:hint="eastAsia" w:ascii="仿宋" w:hAnsi="仿宋" w:eastAsia="仿宋" w:cs="仿宋"/>
          <w:color w:val="auto"/>
          <w:lang w:val="en-US" w:eastAsia="zh-CN"/>
        </w:rPr>
        <w:t xml:space="preserve">   </w:t>
      </w:r>
      <w:r>
        <w:rPr>
          <w:rFonts w:hint="eastAsia" w:ascii="仿宋" w:hAnsi="仿宋" w:eastAsia="仿宋" w:cs="仿宋"/>
          <w:color w:val="auto"/>
          <w:kern w:val="2"/>
          <w:sz w:val="32"/>
          <w:szCs w:val="32"/>
          <w:lang w:val="en-US" w:eastAsia="zh-CN" w:bidi="ar-SA"/>
        </w:rPr>
        <w:t>4、2020年年初结转结余为1634.78万元，年末结余结转为770.21万元。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（二）预算执行情况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2020年我局机关实际总支出为4098.14万元。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1.基本支出执行情况。基本支出2412.97万元，其中人员支出1896.63万元，商品和服务支出441.40万元，对个人和家庭的补助支出约64.14万元，其他资本性支出10.8万元。</w:t>
      </w:r>
    </w:p>
    <w:p>
      <w:pPr>
        <w:snapToGrid w:val="0"/>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2.业务性专项执行情况。业务性专项支出212.14万元，主要为：农村危房改造工作经费82.79万元，人防开支90.68万元，住建项目前期工作经费38.67（含小城镇建设、新农村建设、新型城镇化建设等）。</w:t>
      </w:r>
    </w:p>
    <w:p>
      <w:pPr>
        <w:snapToGrid w:val="0"/>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性专项执行情况。项目性专项支出1473.03万元，主要为：城市地下管线普查41.91万元，城市地下管线信息平台建设40万元，施工图审费115.73万元，壶天镇传统村落保护建设150万元，洙津渡饮用水源地保护建设243.84万元，建筑工匠培训10万元，乡镇污水处理厂建设243.87万元，黑臭水整治191.88万元，物业精细化管理67.95万元，住房信息构建及维护及纠纷调解6.34万元，政务大楼运行64.18元，白蚁防灭治成本62.6万元，城市精细化管理道路中央隔离设施建设181.41万元，疫情防控53.32万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三、部门整体支出绩效情况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lang w:val="en-US" w:eastAsia="zh-CN"/>
        </w:rPr>
      </w:pPr>
      <w:r>
        <w:rPr>
          <w:rFonts w:hint="eastAsia" w:ascii="仿宋" w:hAnsi="仿宋" w:eastAsia="仿宋" w:cs="仿宋"/>
          <w:sz w:val="32"/>
          <w:szCs w:val="32"/>
          <w:lang w:val="en-US" w:eastAsia="zh-CN"/>
        </w:rPr>
        <w:t>2020年我市住房和城乡建设工作坚持以习近平新时代中国特色社会主义思想为指引，坚决落实市委、市政府决策部署，科学应对各种风险挑战，围绕行业发展、民生保障、社会治理、生态改善持续发力，在湘潭市2020年度住建领域单项工作评比中，我市10项工作名列榜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（一）建筑行业综合实力有新提升。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kern w:val="0"/>
          <w:sz w:val="32"/>
          <w:szCs w:val="32"/>
          <w:lang w:val="en-US" w:eastAsia="zh-CN" w:bidi="ar"/>
        </w:rPr>
        <w:t>坚持疫情防控与产业发展两手抓、两不误，有序推动复工复产，各项指标实现逆势增长。全年完成建筑业总产值118.5亿元，同比增长16.6%。建筑业本地实缴税收5.24亿元，同比增长18.4%，占全市税收收入的28.13%，比上年提高4.1个百分点。新迁入湖南鉴仪、中锋建设等企业9家，新审批企业20家，全市建筑业企业从139家增加到168家（其中一级企业7家，二级企业47家），资质等级和结构体系进一步优化。建筑业企业中产值过5亿元的企业8家，过亿元的企业达到35家。创本地税收1000万元以上的企业</w:t>
      </w:r>
      <w:r>
        <w:rPr>
          <w:rFonts w:hint="eastAsia" w:ascii="仿宋" w:hAnsi="仿宋" w:eastAsia="仿宋" w:cs="仿宋"/>
          <w:sz w:val="32"/>
          <w:szCs w:val="32"/>
          <w:lang w:val="en-US" w:eastAsia="zh-CN"/>
        </w:rPr>
        <w:t>有11家，其中</w:t>
      </w:r>
      <w:r>
        <w:rPr>
          <w:rFonts w:hint="eastAsia" w:ascii="仿宋" w:hAnsi="仿宋" w:eastAsia="仿宋" w:cs="仿宋"/>
          <w:kern w:val="0"/>
          <w:sz w:val="32"/>
          <w:szCs w:val="32"/>
          <w:lang w:val="en-US" w:eastAsia="zh-CN" w:bidi="ar"/>
        </w:rPr>
        <w:t>湘乡市电力建设、湖南腾达电力2家企业本地税收超过3000万元，湖南鸿安、湘棋送变电、湘福建筑、龙飞电力4家企业本地税收在2000万元以上。</w:t>
      </w:r>
      <w:r>
        <w:rPr>
          <w:rFonts w:hint="eastAsia" w:ascii="仿宋" w:hAnsi="仿宋" w:eastAsia="仿宋" w:cs="仿宋"/>
          <w:sz w:val="32"/>
          <w:szCs w:val="32"/>
          <w:lang w:val="en-US" w:eastAsia="zh-CN"/>
        </w:rPr>
        <w:t>10万“建筑湘军”遍布各地，</w:t>
      </w:r>
      <w:r>
        <w:rPr>
          <w:rStyle w:val="14"/>
          <w:rFonts w:hint="eastAsia" w:ascii="仿宋" w:hAnsi="仿宋" w:eastAsia="仿宋" w:cs="仿宋"/>
          <w:kern w:val="2"/>
          <w:sz w:val="32"/>
          <w:szCs w:val="32"/>
          <w:lang w:val="en-US" w:eastAsia="zh-CN" w:bidi="ar-SA"/>
        </w:rPr>
        <w:t>建筑业成为我市名副其实的支柱产业</w:t>
      </w:r>
      <w:r>
        <w:rPr>
          <w:rFonts w:hint="eastAsia" w:ascii="仿宋" w:hAnsi="仿宋" w:eastAsia="仿宋" w:cs="仿宋"/>
          <w:sz w:val="32"/>
          <w:szCs w:val="32"/>
          <w:lang w:val="en-US" w:eastAsia="zh-CN"/>
        </w:rPr>
        <w:t>。全年获评省优质工程4个，湘莲奖7个，湘潭市优质工程10个，品牌效应进一步凸显。加大工程建设领域招投标专项整治和标后稽查，市场秩序进一步规范。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（二）住房保障住有所居有新成效。</w:t>
      </w:r>
    </w:p>
    <w:p>
      <w:pPr>
        <w:pStyle w:val="3"/>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房地产市场稳中有进。全年完成房地产投资26.44亿元；商品房销售面积70.02万㎡，销售金额35.63亿元，实现税收2.62亿元。如燕兴房地产、裕源东山置业年度上缴税收达1.26亿元，成为全市房地产标志性企业。今年1月18日至2月9日举办的网上房博会，累计成交额近17亿元，销售房产3120套近32万㎡，有效提振了市场信心。</w:t>
      </w:r>
    </w:p>
    <w:p>
      <w:pPr>
        <w:pStyle w:val="3"/>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以办好民生实事为重要抓手，对全市危改对象普查复核做到“不漏一户、户户可查”。完成农村危房改造446户，拨付危改资金1241.15万元。完成骄阳小区、涟滨小区二期、三建大厦等24个老旧小区改造，惠及2090户小区居民，完成棚户区改造改扩翻1158户，得到群众一致好评。</w:t>
      </w:r>
    </w:p>
    <w:p>
      <w:pPr>
        <w:pStyle w:val="3"/>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（三）推进新型城镇建设有新进展。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0"/>
          <w:sz w:val="32"/>
          <w:szCs w:val="32"/>
          <w:lang w:val="en-US" w:eastAsia="zh-CN" w:bidi="ar"/>
        </w:rPr>
        <w:t>持续推进以人为核心的新型城镇化，城市框架进一步拓展，城乡面貌显著改善，全市常住人口城镇化率达53%。积极推进黑臭水体治理，启动欧家港渠道底泥整治工程，完成龙洞镇大家塘、栗山镇西山村大塘2处乡镇黑臭水体治理。着力农村人居环境改善，12处非正规垃圾堆放点全面销号清零，建成乡镇垃圾中转站16处，拆除国省干道旁敞口垃圾池435个，形成“户分类、村收集、乡（镇）转运、市处理”的垃圾处理体系。推进泉塘、东郊、毛田3个污水处理厂建设，</w:t>
      </w:r>
      <w:r>
        <w:rPr>
          <w:rFonts w:hint="eastAsia" w:ascii="仿宋" w:hAnsi="仿宋" w:eastAsia="仿宋" w:cs="仿宋"/>
          <w:color w:val="auto"/>
          <w:kern w:val="2"/>
          <w:sz w:val="32"/>
          <w:szCs w:val="32"/>
          <w:lang w:val="en-US" w:eastAsia="zh-CN" w:bidi="ar-SA"/>
        </w:rPr>
        <w:t>投入运行。</w:t>
      </w:r>
    </w:p>
    <w:p>
      <w:pPr>
        <w:pStyle w:val="3"/>
        <w:keepNext w:val="0"/>
        <w:keepLines w:val="0"/>
        <w:pageBreakBefore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（四）促进优质安全发展有新亮点。</w:t>
      </w:r>
    </w:p>
    <w:p>
      <w:pPr>
        <w:pStyle w:val="3"/>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深化风险隐患“大排查大管控大整治”行动，扎实开展建设领域“强执法防事故”“打非治违”等专项行动。全年对62个在建项目开展季度质量安全检查、重大危险源专项排查、安全生产与质量管理标准化考评等工作，覆盖建筑面积158.52万㎡。共下工地监督检查1272次，发现并处理一般质量安全问题597起，实现受监工地连续78个月零亡人记录，全市建筑行业安全形势保持平稳可控。</w:t>
      </w:r>
      <w:r>
        <w:rPr>
          <w:rFonts w:hint="eastAsia" w:ascii="仿宋" w:hAnsi="仿宋" w:eastAsia="仿宋" w:cs="仿宋"/>
          <w:sz w:val="32"/>
          <w:szCs w:val="32"/>
        </w:rPr>
        <w:t>全面完成用作经营的农村自建房安全隐患排查</w:t>
      </w:r>
      <w:r>
        <w:rPr>
          <w:rFonts w:hint="eastAsia" w:ascii="仿宋" w:hAnsi="仿宋" w:eastAsia="仿宋" w:cs="仿宋"/>
          <w:sz w:val="32"/>
          <w:szCs w:val="32"/>
          <w:lang w:eastAsia="zh-CN"/>
        </w:rPr>
        <w:t>。</w:t>
      </w:r>
      <w:r>
        <w:rPr>
          <w:rFonts w:hint="eastAsia" w:ascii="仿宋" w:hAnsi="仿宋" w:eastAsia="仿宋" w:cs="仿宋"/>
          <w:color w:val="auto"/>
          <w:kern w:val="0"/>
          <w:sz w:val="32"/>
          <w:szCs w:val="32"/>
          <w:lang w:val="en-US" w:eastAsia="zh-CN" w:bidi="ar"/>
        </w:rPr>
        <w:t>培训农村建筑工匠600余人。积极开展人防宣传教育，强化人防实战演练，提高人防通信指挥能力。定期组织人防工程安全巡查。</w:t>
      </w:r>
    </w:p>
    <w:p>
      <w:pPr>
        <w:pStyle w:val="3"/>
        <w:keepNext w:val="0"/>
        <w:keepLines w:val="0"/>
        <w:pageBreakBefore w:val="0"/>
        <w:kinsoku/>
        <w:wordWrap/>
        <w:overflowPunct/>
        <w:topLinePunct w:val="0"/>
        <w:autoSpaceDE/>
        <w:autoSpaceDN/>
        <w:bidi w:val="0"/>
        <w:adjustRightInd/>
        <w:snapToGrid/>
        <w:spacing w:line="600" w:lineRule="exact"/>
        <w:jc w:val="both"/>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（五）行业管理工作作风有新转变。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加速推进工程建设项目审批制度改革。全面落实“四个统一”改革要求，实行线上审批。精简审批事项和流程，将全市原有104个审批事项缩减为47个，对其中36个审批事项实行并联审批。推行告知承诺制、“多图联审”、“多测合一”、区域评估、联合验收。政府、社会、工业投资项目审批总时限压减到65、55、50个工作日以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绿色建筑管理进一步加强。推广大型绿色建筑项目3个，新建绿色建筑执行绿色建筑标准达76.1%，建筑节能强制性标准实施综合达到100%。城区在建工程项目新墙材应用率保持100%。</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000000" w:themeColor="text1"/>
          <w:spacing w:val="0"/>
          <w:kern w:val="2"/>
          <w:sz w:val="32"/>
          <w:szCs w:val="32"/>
          <w:lang w:val="en-US" w:eastAsia="zh-CN" w:bidi="ar-SA"/>
          <w14:textFill>
            <w14:solidFill>
              <w14:schemeClr w14:val="tx1"/>
            </w14:solidFill>
          </w14:textFill>
        </w:rPr>
      </w:pPr>
      <w:r>
        <w:rPr>
          <w:rFonts w:hint="eastAsia" w:ascii="仿宋" w:hAnsi="仿宋" w:eastAsia="仿宋" w:cs="仿宋"/>
          <w:sz w:val="32"/>
          <w:szCs w:val="32"/>
          <w:lang w:val="en-US" w:eastAsia="zh-CN"/>
        </w:rPr>
        <w:t>物业服务行业管理水平进一步提升。</w:t>
      </w:r>
      <w:r>
        <w:rPr>
          <w:rFonts w:hint="eastAsia" w:ascii="仿宋" w:hAnsi="仿宋" w:eastAsia="仿宋" w:cs="仿宋"/>
          <w:color w:val="000000" w:themeColor="text1"/>
          <w:spacing w:val="0"/>
          <w:kern w:val="2"/>
          <w:sz w:val="32"/>
          <w:szCs w:val="32"/>
          <w:lang w:val="en-US" w:eastAsia="zh-CN" w:bidi="ar-SA"/>
          <w14:textFill>
            <w14:solidFill>
              <w14:schemeClr w14:val="tx1"/>
            </w14:solidFill>
          </w14:textFill>
        </w:rPr>
        <w:t>培训小区业主委员会、物业从业人员1500余人次，发放宣传资料5000余册。</w:t>
      </w:r>
      <w:r>
        <w:rPr>
          <w:rFonts w:hint="eastAsia" w:ascii="仿宋" w:hAnsi="仿宋" w:eastAsia="仿宋" w:cs="仿宋"/>
          <w:sz w:val="32"/>
          <w:szCs w:val="32"/>
          <w:lang w:val="en-US" w:eastAsia="zh-CN"/>
        </w:rPr>
        <w:t>制定物业管理联席会议制度，畅通住宅小区矛盾纠纷排解渠道。滨江壹号、燕兴华城三期、缇香尊邸等5个项目获湖南省五星级物业服务项目称号，湘房三期、尊城水岸获省三星级物业服务项目称号。</w:t>
      </w:r>
      <w:r>
        <w:rPr>
          <w:rFonts w:hint="eastAsia" w:ascii="仿宋" w:hAnsi="仿宋" w:eastAsia="仿宋" w:cs="仿宋"/>
          <w:color w:val="000000" w:themeColor="text1"/>
          <w:spacing w:val="0"/>
          <w:kern w:val="2"/>
          <w:sz w:val="32"/>
          <w:szCs w:val="32"/>
          <w:lang w:val="en-US" w:eastAsia="zh-CN" w:bidi="ar-SA"/>
          <w14:textFill>
            <w14:solidFill>
              <w14:schemeClr w14:val="tx1"/>
            </w14:solidFill>
          </w14:textFill>
        </w:rPr>
        <w:t>疫情防控期间，全市43家物业企业2000余名从业人员与所在社区工作者日夜坚守岗位，筑牢小区“防护墙”。湘乡住建获湘潭市抗击新冠肺炎疫情先进单位。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四、存在的主要问题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（一）部门预算年初考虑欠缺全面性，致使年中增加预算。同时，中心工作并未在年初时一并考虑，故年中收支预算增加。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（二）财政拨款不能及时到位，造成年终账面结余资金虚高。因政府财力紧张，拨款不能及时到位，单位各项资金不能及时支付，到年底时结存指标较多，但实际却应付未付，造成结余数与实际数相差较大。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五、改进措施和有关建议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（一）及时拨付相关费用，减少年终结余结转资金量，保障各项工作顺利进行。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lang w:val="en-US" w:eastAsia="zh-CN"/>
        </w:rPr>
        <w:t>（二）建议进一步增加公用经费标准。2021年局机关公用经费标准虽已从上年的7200元/人.年提升至10000元/人.年,住房公积金已从10%提升到12%缴纳，但与实际开支相比，缺口仍然很大。</w:t>
      </w:r>
      <w:r>
        <w:rPr>
          <w:rFonts w:hint="eastAsia" w:ascii="仿宋" w:hAnsi="仿宋" w:eastAsia="仿宋" w:cs="仿宋"/>
          <w:color w:val="auto"/>
          <w:sz w:val="32"/>
          <w:szCs w:val="32"/>
          <w:lang w:val="en-US" w:eastAsia="zh-CN"/>
        </w:rPr>
        <w:t>主要因有些支出有政策文件依据必须支出，但预算并未安排，如残疾人就业基金、大防控经费、伙食费、党建经费、退休人员慰问等等。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六、绩效目标自评结论及报告附表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2020年住建局的各项工作按期优质完成，取得了较好的经济及社会效益，各界反响良好，对湘乡经济社会发展作出了较大贡献。各项年初绩效目标全部实现，其中绝大部份指标超额完成，自评计分</w:t>
      </w:r>
      <w:r>
        <w:rPr>
          <w:rFonts w:hint="eastAsia" w:ascii="仿宋" w:hAnsi="仿宋" w:eastAsia="仿宋" w:cs="仿宋"/>
          <w:color w:val="auto"/>
          <w:sz w:val="32"/>
          <w:szCs w:val="32"/>
          <w:lang w:val="en-US" w:eastAsia="zh-CN"/>
        </w:rPr>
        <w:t>95</w:t>
      </w:r>
      <w:r>
        <w:rPr>
          <w:rFonts w:hint="eastAsia" w:ascii="仿宋" w:hAnsi="仿宋" w:eastAsia="仿宋" w:cs="仿宋"/>
          <w:sz w:val="32"/>
          <w:szCs w:val="32"/>
          <w:lang w:val="en-US" w:eastAsia="zh-CN"/>
        </w:rPr>
        <w:t>分，评定等级为优秀。</w:t>
      </w: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ind w:left="93"/>
        <w:jc w:val="center"/>
        <w:rPr>
          <w:rFonts w:hint="eastAsia" w:ascii="方正小标宋简体" w:hAnsi="仿宋" w:eastAsia="方正小标宋简体"/>
          <w:bCs/>
          <w:kern w:val="0"/>
          <w:sz w:val="36"/>
          <w:szCs w:val="36"/>
        </w:rPr>
      </w:pPr>
    </w:p>
    <w:p>
      <w:pPr>
        <w:widowControl/>
        <w:jc w:val="both"/>
        <w:rPr>
          <w:rFonts w:hint="eastAsia" w:ascii="方正小标宋简体" w:hAnsi="仿宋" w:eastAsia="方正小标宋简体"/>
          <w:bCs/>
          <w:kern w:val="0"/>
          <w:sz w:val="36"/>
          <w:szCs w:val="36"/>
        </w:rPr>
      </w:pPr>
    </w:p>
    <w:p>
      <w:pPr>
        <w:widowControl/>
        <w:jc w:val="both"/>
        <w:rPr>
          <w:rFonts w:hint="eastAsia" w:ascii="方正小标宋简体" w:hAnsi="仿宋" w:eastAsia="方正小标宋简体"/>
          <w:bCs/>
          <w:kern w:val="0"/>
          <w:sz w:val="36"/>
          <w:szCs w:val="36"/>
        </w:rPr>
      </w:pPr>
    </w:p>
    <w:p>
      <w:pPr>
        <w:widowControl/>
        <w:ind w:left="93"/>
        <w:jc w:val="center"/>
        <w:rPr>
          <w:rFonts w:ascii="仿宋" w:hAnsi="仿宋" w:eastAsia="楷体_GB2312"/>
          <w:bCs/>
          <w:kern w:val="0"/>
          <w:szCs w:val="32"/>
        </w:rPr>
      </w:pPr>
      <w:r>
        <w:rPr>
          <w:rFonts w:hint="eastAsia" w:ascii="方正小标宋简体" w:hAnsi="仿宋" w:eastAsia="方正小标宋简体"/>
          <w:bCs/>
          <w:kern w:val="0"/>
          <w:sz w:val="36"/>
          <w:szCs w:val="36"/>
        </w:rPr>
        <w:t>部门整体支出绩效评价指标体系</w:t>
      </w:r>
    </w:p>
    <w:tbl>
      <w:tblPr>
        <w:tblStyle w:val="7"/>
        <w:tblW w:w="108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4"/>
        <w:gridCol w:w="518"/>
        <w:gridCol w:w="819"/>
        <w:gridCol w:w="490"/>
        <w:gridCol w:w="945"/>
        <w:gridCol w:w="2196"/>
        <w:gridCol w:w="3218"/>
        <w:gridCol w:w="732"/>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blHeader/>
          <w:jc w:val="center"/>
        </w:trPr>
        <w:tc>
          <w:tcPr>
            <w:tcW w:w="584" w:type="dxa"/>
            <w:noWrap w:val="0"/>
            <w:vAlign w:val="center"/>
          </w:tcPr>
          <w:p>
            <w:pPr>
              <w:widowControl/>
              <w:spacing w:line="300" w:lineRule="exact"/>
              <w:jc w:val="center"/>
              <w:rPr>
                <w:rFonts w:ascii="仿宋" w:hAnsi="仿宋"/>
                <w:b/>
                <w:bCs/>
                <w:kern w:val="0"/>
                <w:sz w:val="24"/>
              </w:rPr>
            </w:pPr>
            <w:r>
              <w:rPr>
                <w:rFonts w:ascii="仿宋" w:hAnsi="仿宋"/>
                <w:b/>
                <w:bCs/>
                <w:kern w:val="0"/>
                <w:sz w:val="24"/>
              </w:rPr>
              <w:t>一级指标</w:t>
            </w:r>
          </w:p>
        </w:tc>
        <w:tc>
          <w:tcPr>
            <w:tcW w:w="518" w:type="dxa"/>
            <w:noWrap w:val="0"/>
            <w:vAlign w:val="center"/>
          </w:tcPr>
          <w:p>
            <w:pPr>
              <w:widowControl/>
              <w:spacing w:line="300" w:lineRule="exact"/>
              <w:jc w:val="center"/>
              <w:rPr>
                <w:rFonts w:ascii="仿宋" w:hAnsi="仿宋"/>
                <w:b/>
                <w:bCs/>
                <w:kern w:val="0"/>
                <w:sz w:val="24"/>
              </w:rPr>
            </w:pPr>
            <w:r>
              <w:rPr>
                <w:rFonts w:ascii="仿宋" w:hAnsi="仿宋"/>
                <w:b/>
                <w:bCs/>
                <w:kern w:val="0"/>
                <w:sz w:val="24"/>
              </w:rPr>
              <w:t>二级指标</w:t>
            </w:r>
          </w:p>
        </w:tc>
        <w:tc>
          <w:tcPr>
            <w:tcW w:w="819" w:type="dxa"/>
            <w:noWrap w:val="0"/>
            <w:vAlign w:val="center"/>
          </w:tcPr>
          <w:p>
            <w:pPr>
              <w:widowControl/>
              <w:spacing w:line="300" w:lineRule="exact"/>
              <w:jc w:val="center"/>
              <w:rPr>
                <w:rFonts w:ascii="仿宋" w:hAnsi="仿宋"/>
                <w:b/>
                <w:bCs/>
                <w:kern w:val="0"/>
                <w:sz w:val="24"/>
              </w:rPr>
            </w:pPr>
            <w:r>
              <w:rPr>
                <w:rFonts w:ascii="仿宋" w:hAnsi="仿宋"/>
                <w:b/>
                <w:bCs/>
                <w:kern w:val="0"/>
                <w:sz w:val="24"/>
              </w:rPr>
              <w:t>分值</w:t>
            </w:r>
          </w:p>
        </w:tc>
        <w:tc>
          <w:tcPr>
            <w:tcW w:w="490" w:type="dxa"/>
            <w:noWrap w:val="0"/>
            <w:vAlign w:val="center"/>
          </w:tcPr>
          <w:p>
            <w:pPr>
              <w:widowControl/>
              <w:spacing w:line="300" w:lineRule="exact"/>
              <w:jc w:val="center"/>
              <w:rPr>
                <w:rFonts w:ascii="仿宋" w:hAnsi="仿宋"/>
                <w:b/>
                <w:bCs/>
                <w:kern w:val="0"/>
                <w:sz w:val="24"/>
              </w:rPr>
            </w:pPr>
            <w:r>
              <w:rPr>
                <w:rFonts w:ascii="仿宋" w:hAnsi="仿宋"/>
                <w:b/>
                <w:bCs/>
                <w:kern w:val="0"/>
                <w:sz w:val="24"/>
              </w:rPr>
              <w:t>三级指标</w:t>
            </w:r>
          </w:p>
        </w:tc>
        <w:tc>
          <w:tcPr>
            <w:tcW w:w="945" w:type="dxa"/>
            <w:noWrap w:val="0"/>
            <w:vAlign w:val="center"/>
          </w:tcPr>
          <w:p>
            <w:pPr>
              <w:widowControl/>
              <w:spacing w:line="300" w:lineRule="exact"/>
              <w:jc w:val="center"/>
              <w:rPr>
                <w:rFonts w:ascii="仿宋" w:hAnsi="仿宋"/>
                <w:b/>
                <w:bCs/>
                <w:kern w:val="0"/>
                <w:sz w:val="24"/>
              </w:rPr>
            </w:pPr>
            <w:r>
              <w:rPr>
                <w:rFonts w:ascii="仿宋" w:hAnsi="仿宋"/>
                <w:b/>
                <w:bCs/>
                <w:kern w:val="0"/>
                <w:sz w:val="24"/>
              </w:rPr>
              <w:t>分值</w:t>
            </w:r>
          </w:p>
        </w:tc>
        <w:tc>
          <w:tcPr>
            <w:tcW w:w="2196" w:type="dxa"/>
            <w:noWrap w:val="0"/>
            <w:vAlign w:val="center"/>
          </w:tcPr>
          <w:p>
            <w:pPr>
              <w:widowControl/>
              <w:spacing w:line="300" w:lineRule="exact"/>
              <w:jc w:val="center"/>
              <w:rPr>
                <w:rFonts w:ascii="仿宋" w:hAnsi="仿宋"/>
                <w:b/>
                <w:bCs/>
                <w:kern w:val="0"/>
                <w:sz w:val="24"/>
              </w:rPr>
            </w:pPr>
            <w:r>
              <w:rPr>
                <w:rFonts w:ascii="仿宋" w:hAnsi="仿宋"/>
                <w:b/>
                <w:bCs/>
                <w:kern w:val="0"/>
                <w:sz w:val="24"/>
              </w:rPr>
              <w:t>评价标准</w:t>
            </w:r>
          </w:p>
        </w:tc>
        <w:tc>
          <w:tcPr>
            <w:tcW w:w="3218" w:type="dxa"/>
            <w:noWrap w:val="0"/>
            <w:vAlign w:val="center"/>
          </w:tcPr>
          <w:p>
            <w:pPr>
              <w:widowControl/>
              <w:spacing w:line="300" w:lineRule="exact"/>
              <w:jc w:val="center"/>
              <w:rPr>
                <w:rFonts w:ascii="仿宋" w:hAnsi="仿宋"/>
                <w:b/>
                <w:bCs/>
                <w:kern w:val="0"/>
                <w:sz w:val="24"/>
              </w:rPr>
            </w:pPr>
            <w:r>
              <w:rPr>
                <w:rFonts w:ascii="仿宋" w:hAnsi="仿宋"/>
                <w:b/>
                <w:bCs/>
                <w:kern w:val="0"/>
                <w:sz w:val="24"/>
              </w:rPr>
              <w:t>备  注</w:t>
            </w:r>
          </w:p>
        </w:tc>
        <w:tc>
          <w:tcPr>
            <w:tcW w:w="732" w:type="dxa"/>
            <w:noWrap w:val="0"/>
            <w:vAlign w:val="center"/>
          </w:tcPr>
          <w:p>
            <w:pPr>
              <w:widowControl/>
              <w:spacing w:line="300" w:lineRule="exact"/>
              <w:jc w:val="center"/>
              <w:rPr>
                <w:rFonts w:hint="eastAsia" w:ascii="仿宋" w:hAnsi="仿宋" w:eastAsia="宋体"/>
                <w:b/>
                <w:bCs/>
                <w:kern w:val="0"/>
                <w:sz w:val="24"/>
                <w:lang w:eastAsia="zh-CN"/>
              </w:rPr>
            </w:pPr>
            <w:r>
              <w:rPr>
                <w:rFonts w:hint="eastAsia" w:ascii="仿宋" w:hAnsi="仿宋"/>
                <w:b/>
                <w:bCs/>
                <w:kern w:val="0"/>
                <w:sz w:val="24"/>
                <w:lang w:eastAsia="zh-CN"/>
              </w:rPr>
              <w:t>得分</w:t>
            </w:r>
          </w:p>
        </w:tc>
        <w:tc>
          <w:tcPr>
            <w:tcW w:w="1320" w:type="dxa"/>
            <w:noWrap w:val="0"/>
            <w:vAlign w:val="center"/>
          </w:tcPr>
          <w:p>
            <w:pPr>
              <w:widowControl/>
              <w:spacing w:line="300" w:lineRule="exact"/>
              <w:jc w:val="center"/>
              <w:rPr>
                <w:rFonts w:hint="eastAsia" w:ascii="仿宋" w:hAnsi="仿宋"/>
                <w:b/>
                <w:bCs/>
                <w:kern w:val="0"/>
                <w:sz w:val="24"/>
                <w:lang w:eastAsia="zh-CN"/>
              </w:rPr>
            </w:pPr>
            <w:r>
              <w:rPr>
                <w:rFonts w:hint="eastAsia" w:ascii="仿宋" w:hAnsi="仿宋"/>
                <w:b/>
                <w:bCs/>
                <w:kern w:val="0"/>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7" w:hRule="atLeast"/>
          <w:jc w:val="center"/>
        </w:trPr>
        <w:tc>
          <w:tcPr>
            <w:tcW w:w="584" w:type="dxa"/>
            <w:vMerge w:val="restart"/>
            <w:noWrap w:val="0"/>
            <w:textDirection w:val="tbRlV"/>
            <w:vAlign w:val="center"/>
          </w:tcPr>
          <w:p>
            <w:pPr>
              <w:widowControl/>
              <w:spacing w:line="300" w:lineRule="exact"/>
              <w:jc w:val="center"/>
              <w:rPr>
                <w:rFonts w:ascii="仿宋" w:hAnsi="仿宋"/>
                <w:kern w:val="0"/>
                <w:sz w:val="24"/>
              </w:rPr>
            </w:pPr>
            <w:r>
              <w:rPr>
                <w:rFonts w:ascii="仿宋" w:hAnsi="仿宋"/>
                <w:kern w:val="0"/>
                <w:sz w:val="24"/>
              </w:rPr>
              <w:t>投    入</w:t>
            </w:r>
          </w:p>
        </w:tc>
        <w:tc>
          <w:tcPr>
            <w:tcW w:w="518"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职责 履行</w:t>
            </w:r>
          </w:p>
        </w:tc>
        <w:tc>
          <w:tcPr>
            <w:tcW w:w="819" w:type="dxa"/>
            <w:vMerge w:val="restart"/>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产出目标</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目标细化、量化（</w:t>
            </w:r>
            <w:r>
              <w:rPr>
                <w:rFonts w:hint="eastAsia" w:ascii="宋体" w:hAnsi="宋体" w:eastAsia="宋体" w:cs="宋体"/>
                <w:kern w:val="0"/>
                <w:sz w:val="18"/>
                <w:szCs w:val="18"/>
                <w:lang w:val="en-US" w:eastAsia="zh-CN"/>
              </w:rPr>
              <w:t>1</w:t>
            </w:r>
            <w:r>
              <w:rPr>
                <w:rFonts w:hint="eastAsia" w:ascii="宋体" w:hAnsi="宋体" w:eastAsia="宋体" w:cs="宋体"/>
                <w:kern w:val="0"/>
                <w:sz w:val="18"/>
                <w:szCs w:val="18"/>
              </w:rPr>
              <w:t>分）目标全面且重点突出（</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分）；指标值科学合理（</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分）。</w:t>
            </w:r>
          </w:p>
        </w:tc>
        <w:tc>
          <w:tcPr>
            <w:tcW w:w="3218" w:type="dxa"/>
            <w:vMerge w:val="restart"/>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细化指单位应按照相关政策、文件和规划，将单位应履行职责分解后，按数量、质量、时效及成本四个维度设立目标；</w:t>
            </w:r>
          </w:p>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量化指指标值应当用带计量单位的数值反映；</w:t>
            </w:r>
          </w:p>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定性化指不适宜量化的目标，可用表示程度的文字设置指标值；</w:t>
            </w:r>
          </w:p>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全面且突出重点指应履职责应全部设立目标，且重点工作目标必须反映；</w:t>
            </w:r>
          </w:p>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科学合理指原则上指标值应当符合政策、文件或规划的要求，且与资金量相匹配；</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1320" w:type="dxa"/>
            <w:noWrap w:val="0"/>
            <w:vAlign w:val="center"/>
          </w:tcPr>
          <w:p>
            <w:pPr>
              <w:widowControl/>
              <w:spacing w:line="300" w:lineRule="exact"/>
              <w:jc w:val="left"/>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履职 效益</w:t>
            </w:r>
          </w:p>
        </w:tc>
        <w:tc>
          <w:tcPr>
            <w:tcW w:w="819"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效益目标</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目标细化、量化或定性化（</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分）；指标值科学合理（</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分）。</w:t>
            </w:r>
          </w:p>
        </w:tc>
        <w:tc>
          <w:tcPr>
            <w:tcW w:w="3218" w:type="dxa"/>
            <w:vMerge w:val="continue"/>
            <w:noWrap w:val="0"/>
            <w:vAlign w:val="center"/>
          </w:tcPr>
          <w:p>
            <w:pPr>
              <w:widowControl/>
              <w:spacing w:line="300" w:lineRule="exact"/>
              <w:jc w:val="left"/>
              <w:rPr>
                <w:rFonts w:hint="eastAsia" w:ascii="宋体" w:hAnsi="宋体" w:eastAsia="宋体" w:cs="宋体"/>
                <w:kern w:val="0"/>
                <w:sz w:val="18"/>
                <w:szCs w:val="18"/>
              </w:rPr>
            </w:pP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w:t>
            </w:r>
          </w:p>
        </w:tc>
        <w:tc>
          <w:tcPr>
            <w:tcW w:w="1320" w:type="dxa"/>
            <w:noWrap w:val="0"/>
            <w:vAlign w:val="center"/>
          </w:tcPr>
          <w:p>
            <w:pPr>
              <w:widowControl/>
              <w:spacing w:line="300" w:lineRule="exact"/>
              <w:jc w:val="left"/>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履职满意度</w:t>
            </w:r>
          </w:p>
        </w:tc>
        <w:tc>
          <w:tcPr>
            <w:tcW w:w="819"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满意度目标</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满意度科学合理（</w:t>
            </w:r>
            <w:r>
              <w:rPr>
                <w:rFonts w:hint="eastAsia" w:ascii="宋体" w:hAnsi="宋体" w:eastAsia="宋体" w:cs="宋体"/>
                <w:kern w:val="0"/>
                <w:sz w:val="18"/>
                <w:szCs w:val="18"/>
                <w:lang w:val="en-US" w:eastAsia="zh-CN"/>
              </w:rPr>
              <w:t>1</w:t>
            </w:r>
            <w:r>
              <w:rPr>
                <w:rFonts w:hint="eastAsia" w:ascii="宋体" w:hAnsi="宋体" w:eastAsia="宋体" w:cs="宋体"/>
                <w:kern w:val="0"/>
                <w:sz w:val="18"/>
                <w:szCs w:val="18"/>
              </w:rPr>
              <w:t>分）。</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科学合理指原则上指标值应当符合政策、文件或规划的要求</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1320" w:type="dxa"/>
            <w:noWrap w:val="0"/>
            <w:vAlign w:val="center"/>
          </w:tcPr>
          <w:p>
            <w:pPr>
              <w:widowControl/>
              <w:spacing w:line="300" w:lineRule="exact"/>
              <w:jc w:val="left"/>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584" w:type="dxa"/>
            <w:vMerge w:val="continue"/>
            <w:noWrap w:val="0"/>
            <w:textDirection w:val="tbRlV"/>
            <w:vAlign w:val="center"/>
          </w:tcPr>
          <w:p>
            <w:pPr>
              <w:widowControl/>
              <w:spacing w:line="300" w:lineRule="exact"/>
              <w:jc w:val="center"/>
              <w:rPr>
                <w:rFonts w:ascii="仿宋" w:hAnsi="仿宋"/>
                <w:kern w:val="0"/>
                <w:sz w:val="24"/>
              </w:rPr>
            </w:pPr>
          </w:p>
        </w:tc>
        <w:tc>
          <w:tcPr>
            <w:tcW w:w="518" w:type="dxa"/>
            <w:vMerge w:val="restart"/>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预算配置</w:t>
            </w:r>
          </w:p>
        </w:tc>
        <w:tc>
          <w:tcPr>
            <w:tcW w:w="819" w:type="dxa"/>
            <w:vMerge w:val="restart"/>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在职人员控制率</w:t>
            </w:r>
          </w:p>
        </w:tc>
        <w:tc>
          <w:tcPr>
            <w:tcW w:w="945"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1</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以100%为标准。在职人员控制率≦100%，计1分；每超过一个百分点扣0.5分，扣完为止。</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在职人员控制率=（在职人员数/编制数）×100%，在职人员数：部门（单位）实际在职人数，以财政部门确定的部门决算编制口径为准。</w:t>
            </w:r>
          </w:p>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编制数：机构编制部门核定批复的部门（单位）的人员编制数。</w:t>
            </w:r>
          </w:p>
        </w:tc>
        <w:tc>
          <w:tcPr>
            <w:tcW w:w="732" w:type="dxa"/>
            <w:noWrap w:val="0"/>
            <w:vAlign w:val="center"/>
          </w:tcPr>
          <w:p>
            <w:pPr>
              <w:widowControl/>
              <w:spacing w:line="300" w:lineRule="exact"/>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1320" w:type="dxa"/>
            <w:noWrap w:val="0"/>
            <w:vAlign w:val="center"/>
          </w:tcPr>
          <w:p>
            <w:pPr>
              <w:widowControl/>
              <w:spacing w:line="300" w:lineRule="exact"/>
              <w:jc w:val="left"/>
              <w:rPr>
                <w:rFonts w:hint="eastAsia" w:ascii="宋体" w:hAnsi="宋体" w:cs="宋体"/>
                <w:kern w:val="0"/>
                <w:sz w:val="18"/>
                <w:szCs w:val="18"/>
                <w:lang w:val="en-US" w:eastAsia="zh-CN"/>
              </w:rPr>
            </w:pPr>
            <w:r>
              <w:rPr>
                <w:rFonts w:hint="eastAsia" w:ascii="宋体" w:hAnsi="宋体" w:cs="宋体"/>
                <w:kern w:val="0"/>
                <w:sz w:val="18"/>
                <w:szCs w:val="18"/>
                <w:lang w:val="en-US" w:eastAsia="zh-CN"/>
              </w:rPr>
              <w:t>54-64</w:t>
            </w:r>
          </w:p>
          <w:p>
            <w:pPr>
              <w:widowControl/>
              <w:spacing w:line="300" w:lineRule="exact"/>
              <w:jc w:val="left"/>
              <w:rPr>
                <w:rFonts w:hint="eastAsia" w:ascii="仿宋_GB2312" w:hAnsi="仿宋_GB2312" w:eastAsia="仿宋_GB2312" w:cs="仿宋_GB2312"/>
                <w:sz w:val="24"/>
                <w:szCs w:val="24"/>
              </w:rPr>
            </w:pPr>
            <w:r>
              <w:rPr>
                <w:rFonts w:hint="eastAsia" w:ascii="宋体" w:hAnsi="宋体" w:eastAsia="宋体" w:cs="宋体"/>
                <w:kern w:val="0"/>
                <w:sz w:val="18"/>
                <w:szCs w:val="18"/>
              </w:rPr>
              <w:t>编制人数1</w:t>
            </w:r>
            <w:r>
              <w:rPr>
                <w:rFonts w:hint="eastAsia" w:ascii="宋体" w:hAnsi="宋体" w:eastAsia="宋体" w:cs="宋体"/>
                <w:kern w:val="0"/>
                <w:sz w:val="18"/>
                <w:szCs w:val="18"/>
                <w:lang w:val="en-US" w:eastAsia="zh-CN"/>
              </w:rPr>
              <w:t>09</w:t>
            </w:r>
            <w:r>
              <w:rPr>
                <w:rFonts w:hint="eastAsia" w:ascii="宋体" w:hAnsi="宋体" w:eastAsia="宋体" w:cs="宋体"/>
                <w:kern w:val="0"/>
                <w:sz w:val="18"/>
                <w:szCs w:val="18"/>
              </w:rPr>
              <w:t>人，实有人数1</w:t>
            </w:r>
            <w:r>
              <w:rPr>
                <w:rFonts w:hint="eastAsia" w:ascii="宋体" w:hAnsi="宋体" w:eastAsia="宋体" w:cs="宋体"/>
                <w:kern w:val="0"/>
                <w:sz w:val="18"/>
                <w:szCs w:val="18"/>
                <w:lang w:val="en-US" w:eastAsia="zh-CN"/>
              </w:rPr>
              <w:t>09</w:t>
            </w:r>
            <w:r>
              <w:rPr>
                <w:rFonts w:hint="eastAsia" w:ascii="宋体" w:hAnsi="宋体" w:eastAsia="宋体" w:cs="宋体"/>
                <w:kern w:val="0"/>
                <w:sz w:val="18"/>
                <w:szCs w:val="1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“三公经费”变动率</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2196" w:type="dxa"/>
            <w:noWrap w:val="0"/>
            <w:vAlign w:val="center"/>
          </w:tcPr>
          <w:p>
            <w:pPr>
              <w:widowControl/>
              <w:spacing w:line="300" w:lineRule="exact"/>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“三公经费”变动率≦0,计</w:t>
            </w:r>
            <w:r>
              <w:rPr>
                <w:rFonts w:hint="eastAsia" w:ascii="宋体" w:hAnsi="宋体" w:eastAsia="宋体" w:cs="宋体"/>
                <w:color w:val="auto"/>
                <w:kern w:val="0"/>
                <w:sz w:val="18"/>
                <w:szCs w:val="18"/>
                <w:lang w:val="en-US" w:eastAsia="zh-CN"/>
              </w:rPr>
              <w:t>1</w:t>
            </w:r>
            <w:r>
              <w:rPr>
                <w:rFonts w:hint="eastAsia" w:ascii="宋体" w:hAnsi="宋体" w:eastAsia="宋体" w:cs="宋体"/>
                <w:color w:val="auto"/>
                <w:kern w:val="0"/>
                <w:sz w:val="18"/>
                <w:szCs w:val="18"/>
              </w:rPr>
              <w:t>分；“三公经费”变动率＞0，每超过一个百分点扣0.</w:t>
            </w:r>
            <w:r>
              <w:rPr>
                <w:rFonts w:hint="eastAsia" w:ascii="宋体" w:hAnsi="宋体" w:eastAsia="宋体" w:cs="宋体"/>
                <w:color w:val="auto"/>
                <w:kern w:val="0"/>
                <w:sz w:val="18"/>
                <w:szCs w:val="18"/>
                <w:lang w:val="en-US" w:eastAsia="zh-CN"/>
              </w:rPr>
              <w:t>5</w:t>
            </w:r>
            <w:r>
              <w:rPr>
                <w:rFonts w:hint="eastAsia" w:ascii="宋体" w:hAnsi="宋体" w:eastAsia="宋体" w:cs="宋体"/>
                <w:color w:val="auto"/>
                <w:kern w:val="0"/>
                <w:sz w:val="18"/>
                <w:szCs w:val="18"/>
              </w:rPr>
              <w:t>分，扣完为止。</w:t>
            </w:r>
          </w:p>
        </w:tc>
        <w:tc>
          <w:tcPr>
            <w:tcW w:w="3218" w:type="dxa"/>
            <w:noWrap w:val="0"/>
            <w:vAlign w:val="center"/>
          </w:tcPr>
          <w:p>
            <w:pPr>
              <w:widowControl/>
              <w:spacing w:line="300" w:lineRule="exact"/>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“三公经费”变动率=[（本年度“三公经费”总额-上年度“三公经费”总额）/上年度“三公经费”总额]×100%。</w:t>
            </w:r>
          </w:p>
        </w:tc>
        <w:tc>
          <w:tcPr>
            <w:tcW w:w="732" w:type="dxa"/>
            <w:noWrap w:val="0"/>
            <w:vAlign w:val="center"/>
          </w:tcPr>
          <w:p>
            <w:pPr>
              <w:widowControl/>
              <w:spacing w:line="300" w:lineRule="exact"/>
              <w:jc w:val="center"/>
              <w:rPr>
                <w:rFonts w:hint="eastAsia"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0</w:t>
            </w:r>
          </w:p>
        </w:tc>
        <w:tc>
          <w:tcPr>
            <w:tcW w:w="1320" w:type="dxa"/>
            <w:noWrap w:val="0"/>
            <w:vAlign w:val="center"/>
          </w:tcPr>
          <w:p>
            <w:pPr>
              <w:widowControl/>
              <w:spacing w:line="300" w:lineRule="exact"/>
              <w:jc w:val="left"/>
              <w:rPr>
                <w:rFonts w:hint="eastAsia" w:ascii="宋体" w:hAnsi="宋体" w:cs="宋体"/>
                <w:color w:val="auto"/>
                <w:kern w:val="0"/>
                <w:sz w:val="18"/>
                <w:szCs w:val="18"/>
                <w:lang w:val="en-US" w:eastAsia="zh-CN"/>
              </w:rPr>
            </w:pPr>
            <w:r>
              <w:rPr>
                <w:rFonts w:hint="eastAsia" w:ascii="宋体" w:hAnsi="宋体" w:cs="宋体"/>
                <w:color w:val="auto"/>
                <w:kern w:val="0"/>
                <w:sz w:val="18"/>
                <w:szCs w:val="18"/>
                <w:lang w:val="en-US" w:eastAsia="zh-CN"/>
              </w:rPr>
              <w:t>25</w:t>
            </w:r>
          </w:p>
          <w:p>
            <w:pPr>
              <w:widowControl/>
              <w:spacing w:line="300" w:lineRule="exact"/>
              <w:jc w:val="left"/>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18"/>
                <w:szCs w:val="18"/>
                <w:lang w:val="en-US" w:eastAsia="zh-CN"/>
              </w:rPr>
              <w:t>（11.75-9.52）/9.52=23.42%</w:t>
            </w:r>
            <w:r>
              <w:rPr>
                <w:rFonts w:hint="eastAsia" w:ascii="宋体" w:hAnsi="宋体" w:cs="宋体"/>
                <w:color w:val="auto"/>
                <w:kern w:val="0"/>
                <w:sz w:val="18"/>
                <w:szCs w:val="18"/>
                <w:lang w:val="en-US" w:eastAsia="zh-CN"/>
              </w:rPr>
              <w:t>，继续加强党风廉政建设，三公经费比上年持续减少。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0" w:hRule="atLeast"/>
          <w:jc w:val="center"/>
        </w:trPr>
        <w:tc>
          <w:tcPr>
            <w:tcW w:w="584" w:type="dxa"/>
            <w:vMerge w:val="restart"/>
            <w:noWrap w:val="0"/>
            <w:textDirection w:val="tbRlV"/>
            <w:vAlign w:val="center"/>
          </w:tcPr>
          <w:p>
            <w:pPr>
              <w:widowControl/>
              <w:spacing w:line="300" w:lineRule="exact"/>
              <w:jc w:val="center"/>
              <w:rPr>
                <w:rFonts w:ascii="仿宋" w:hAnsi="仿宋"/>
                <w:kern w:val="0"/>
                <w:sz w:val="24"/>
              </w:rPr>
            </w:pPr>
            <w:r>
              <w:rPr>
                <w:rFonts w:ascii="仿宋" w:hAnsi="仿宋"/>
                <w:kern w:val="0"/>
                <w:sz w:val="24"/>
              </w:rPr>
              <w:t>过    程</w:t>
            </w:r>
          </w:p>
        </w:tc>
        <w:tc>
          <w:tcPr>
            <w:tcW w:w="518" w:type="dxa"/>
            <w:vMerge w:val="restart"/>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预算执行</w:t>
            </w:r>
          </w:p>
        </w:tc>
        <w:tc>
          <w:tcPr>
            <w:tcW w:w="819" w:type="dxa"/>
            <w:vMerge w:val="restart"/>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w:t>
            </w: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预算调整率</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预算调整率=0，计</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分；0-10%（含），计</w:t>
            </w:r>
            <w:r>
              <w:rPr>
                <w:rFonts w:hint="eastAsia" w:ascii="宋体" w:hAnsi="宋体" w:eastAsia="宋体" w:cs="宋体"/>
                <w:kern w:val="0"/>
                <w:sz w:val="18"/>
                <w:szCs w:val="18"/>
                <w:lang w:val="en-US" w:eastAsia="zh-CN"/>
              </w:rPr>
              <w:t>1.5</w:t>
            </w:r>
            <w:r>
              <w:rPr>
                <w:rFonts w:hint="eastAsia" w:ascii="宋体" w:hAnsi="宋体" w:eastAsia="宋体" w:cs="宋体"/>
                <w:kern w:val="0"/>
                <w:sz w:val="18"/>
                <w:szCs w:val="18"/>
              </w:rPr>
              <w:t>分；10-20%（含），计</w:t>
            </w:r>
            <w:r>
              <w:rPr>
                <w:rFonts w:hint="eastAsia" w:ascii="宋体" w:hAnsi="宋体" w:eastAsia="宋体" w:cs="宋体"/>
                <w:kern w:val="0"/>
                <w:sz w:val="18"/>
                <w:szCs w:val="18"/>
                <w:lang w:val="en-US" w:eastAsia="zh-CN"/>
              </w:rPr>
              <w:t>1</w:t>
            </w:r>
            <w:r>
              <w:rPr>
                <w:rFonts w:hint="eastAsia" w:ascii="宋体" w:hAnsi="宋体" w:eastAsia="宋体" w:cs="宋体"/>
                <w:kern w:val="0"/>
                <w:sz w:val="18"/>
                <w:szCs w:val="18"/>
              </w:rPr>
              <w:t>分；20-30%（含），计</w:t>
            </w:r>
            <w:r>
              <w:rPr>
                <w:rFonts w:hint="eastAsia" w:ascii="宋体" w:hAnsi="宋体" w:eastAsia="宋体" w:cs="宋体"/>
                <w:kern w:val="0"/>
                <w:sz w:val="18"/>
                <w:szCs w:val="18"/>
                <w:lang w:val="en-US" w:eastAsia="zh-CN"/>
              </w:rPr>
              <w:t>0.5</w:t>
            </w:r>
            <w:r>
              <w:rPr>
                <w:rFonts w:hint="eastAsia" w:ascii="宋体" w:hAnsi="宋体" w:eastAsia="宋体" w:cs="宋体"/>
                <w:kern w:val="0"/>
                <w:sz w:val="18"/>
                <w:szCs w:val="18"/>
              </w:rPr>
              <w:t>分；大于30%不得分。</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预算调整率=（预算调整数/预算数）×100%。</w:t>
            </w:r>
          </w:p>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预算调整数：部门（单位）在本年度内涉及预算的追加、追减或结构调整的资金总和（因落实国家政策，发生不可抗力、上级部门或本级党委政府临时交办而产生的调整除外）。</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1320" w:type="dxa"/>
            <w:noWrap w:val="0"/>
            <w:vAlign w:val="center"/>
          </w:tcPr>
          <w:p>
            <w:pPr>
              <w:widowControl/>
              <w:spacing w:line="300" w:lineRule="exact"/>
              <w:jc w:val="left"/>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8-10</w:t>
            </w:r>
          </w:p>
          <w:p>
            <w:pPr>
              <w:widowControl/>
              <w:spacing w:line="300" w:lineRule="exact"/>
              <w:jc w:val="left"/>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26-48</w:t>
            </w:r>
          </w:p>
          <w:p>
            <w:pPr>
              <w:widowControl/>
              <w:spacing w:line="300" w:lineRule="exact"/>
              <w:jc w:val="left"/>
              <w:rPr>
                <w:rFonts w:hint="eastAsia" w:ascii="宋体" w:hAnsi="宋体" w:eastAsia="宋体" w:cs="宋体"/>
                <w:kern w:val="0"/>
                <w:sz w:val="21"/>
                <w:szCs w:val="21"/>
              </w:rPr>
            </w:pPr>
            <w:r>
              <w:rPr>
                <w:rFonts w:hint="eastAsia" w:ascii="仿宋_GB2312" w:hAnsi="仿宋_GB2312" w:eastAsia="仿宋_GB2312" w:cs="仿宋_GB2312"/>
                <w:kern w:val="0"/>
                <w:sz w:val="21"/>
                <w:szCs w:val="21"/>
                <w:lang w:val="en-US" w:eastAsia="zh-CN"/>
              </w:rPr>
              <w:t>预算调整率0%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基本支出预算控制率</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基本支出预算控制率≦100%，计</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分；100-110%（含），计</w:t>
            </w:r>
            <w:r>
              <w:rPr>
                <w:rFonts w:hint="eastAsia" w:ascii="宋体" w:hAnsi="宋体" w:eastAsia="宋体" w:cs="宋体"/>
                <w:kern w:val="0"/>
                <w:sz w:val="18"/>
                <w:szCs w:val="18"/>
                <w:lang w:val="en-US" w:eastAsia="zh-CN"/>
              </w:rPr>
              <w:t>1.5</w:t>
            </w:r>
            <w:r>
              <w:rPr>
                <w:rFonts w:hint="eastAsia" w:ascii="宋体" w:hAnsi="宋体" w:eastAsia="宋体" w:cs="宋体"/>
                <w:kern w:val="0"/>
                <w:sz w:val="18"/>
                <w:szCs w:val="18"/>
              </w:rPr>
              <w:t>分；110-120%（含），计</w:t>
            </w:r>
            <w:r>
              <w:rPr>
                <w:rFonts w:hint="eastAsia" w:ascii="宋体" w:hAnsi="宋体" w:eastAsia="宋体" w:cs="宋体"/>
                <w:kern w:val="0"/>
                <w:sz w:val="18"/>
                <w:szCs w:val="18"/>
                <w:lang w:val="en-US" w:eastAsia="zh-CN"/>
              </w:rPr>
              <w:t>1</w:t>
            </w:r>
            <w:r>
              <w:rPr>
                <w:rFonts w:hint="eastAsia" w:ascii="宋体" w:hAnsi="宋体" w:eastAsia="宋体" w:cs="宋体"/>
                <w:kern w:val="0"/>
                <w:sz w:val="18"/>
                <w:szCs w:val="18"/>
              </w:rPr>
              <w:t>分；120-130%（含），计</w:t>
            </w:r>
            <w:r>
              <w:rPr>
                <w:rFonts w:hint="eastAsia" w:ascii="宋体" w:hAnsi="宋体" w:eastAsia="宋体" w:cs="宋体"/>
                <w:kern w:val="0"/>
                <w:sz w:val="18"/>
                <w:szCs w:val="18"/>
                <w:lang w:val="en-US" w:eastAsia="zh-CN"/>
              </w:rPr>
              <w:t>0.5</w:t>
            </w:r>
            <w:r>
              <w:rPr>
                <w:rFonts w:hint="eastAsia" w:ascii="宋体" w:hAnsi="宋体" w:eastAsia="宋体" w:cs="宋体"/>
                <w:kern w:val="0"/>
                <w:sz w:val="18"/>
                <w:szCs w:val="18"/>
              </w:rPr>
              <w:t>分；大于130%不得分。</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基本支出预算控制率=（基本支出实际支出/基本支出年度总预算）*100%。</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1320" w:type="dxa"/>
            <w:noWrap w:val="0"/>
            <w:vAlign w:val="center"/>
          </w:tcPr>
          <w:p>
            <w:pPr>
              <w:widowControl/>
              <w:spacing w:line="300" w:lineRule="exact"/>
              <w:jc w:val="left"/>
              <w:rPr>
                <w:rFonts w:hint="eastAsia" w:ascii="宋体" w:hAnsi="宋体" w:cs="宋体"/>
                <w:kern w:val="0"/>
                <w:sz w:val="21"/>
                <w:szCs w:val="21"/>
                <w:lang w:val="en-US" w:eastAsia="zh-CN"/>
              </w:rPr>
            </w:pPr>
            <w:r>
              <w:rPr>
                <w:rFonts w:hint="eastAsia" w:ascii="宋体" w:hAnsi="宋体" w:cs="宋体"/>
                <w:kern w:val="0"/>
                <w:sz w:val="21"/>
                <w:szCs w:val="21"/>
                <w:lang w:val="en-US" w:eastAsia="zh-CN"/>
              </w:rPr>
              <w:t>8-10</w:t>
            </w:r>
          </w:p>
          <w:p>
            <w:pPr>
              <w:widowControl/>
              <w:spacing w:line="300" w:lineRule="exact"/>
              <w:jc w:val="left"/>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26-48</w:t>
            </w:r>
          </w:p>
          <w:p>
            <w:pPr>
              <w:widowControl/>
              <w:spacing w:line="300" w:lineRule="exact"/>
              <w:jc w:val="left"/>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70-81</w:t>
            </w:r>
          </w:p>
          <w:p>
            <w:pPr>
              <w:widowControl/>
              <w:spacing w:line="300" w:lineRule="exact"/>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4098.14/(2022.07+2283.03-184.02)=99.44%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项目支出预算控制率</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2196" w:type="dxa"/>
            <w:noWrap w:val="0"/>
            <w:vAlign w:val="center"/>
          </w:tcPr>
          <w:p>
            <w:pPr>
              <w:widowControl/>
              <w:spacing w:line="300" w:lineRule="exact"/>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项目支出预算控制率≦100%，计</w:t>
            </w:r>
            <w:r>
              <w:rPr>
                <w:rFonts w:hint="eastAsia" w:ascii="宋体" w:hAnsi="宋体" w:eastAsia="宋体" w:cs="宋体"/>
                <w:color w:val="auto"/>
                <w:kern w:val="0"/>
                <w:sz w:val="18"/>
                <w:szCs w:val="18"/>
                <w:lang w:val="en-US" w:eastAsia="zh-CN"/>
              </w:rPr>
              <w:t>2</w:t>
            </w:r>
            <w:r>
              <w:rPr>
                <w:rFonts w:hint="eastAsia" w:ascii="宋体" w:hAnsi="宋体" w:eastAsia="宋体" w:cs="宋体"/>
                <w:color w:val="auto"/>
                <w:kern w:val="0"/>
                <w:sz w:val="18"/>
                <w:szCs w:val="18"/>
              </w:rPr>
              <w:t>分；100-110%（含），计</w:t>
            </w:r>
            <w:r>
              <w:rPr>
                <w:rFonts w:hint="eastAsia" w:ascii="宋体" w:hAnsi="宋体" w:eastAsia="宋体" w:cs="宋体"/>
                <w:color w:val="auto"/>
                <w:kern w:val="0"/>
                <w:sz w:val="18"/>
                <w:szCs w:val="18"/>
                <w:lang w:val="en-US" w:eastAsia="zh-CN"/>
              </w:rPr>
              <w:t>1.5</w:t>
            </w:r>
            <w:r>
              <w:rPr>
                <w:rFonts w:hint="eastAsia" w:ascii="宋体" w:hAnsi="宋体" w:eastAsia="宋体" w:cs="宋体"/>
                <w:color w:val="auto"/>
                <w:kern w:val="0"/>
                <w:sz w:val="18"/>
                <w:szCs w:val="18"/>
              </w:rPr>
              <w:t>分；110-120%（含），计</w:t>
            </w:r>
            <w:r>
              <w:rPr>
                <w:rFonts w:hint="eastAsia" w:ascii="宋体" w:hAnsi="宋体" w:eastAsia="宋体" w:cs="宋体"/>
                <w:color w:val="auto"/>
                <w:kern w:val="0"/>
                <w:sz w:val="18"/>
                <w:szCs w:val="18"/>
                <w:lang w:val="en-US" w:eastAsia="zh-CN"/>
              </w:rPr>
              <w:t>1</w:t>
            </w:r>
            <w:r>
              <w:rPr>
                <w:rFonts w:hint="eastAsia" w:ascii="宋体" w:hAnsi="宋体" w:eastAsia="宋体" w:cs="宋体"/>
                <w:color w:val="auto"/>
                <w:kern w:val="0"/>
                <w:sz w:val="18"/>
                <w:szCs w:val="18"/>
              </w:rPr>
              <w:t>分；120-130%（含），计</w:t>
            </w:r>
            <w:r>
              <w:rPr>
                <w:rFonts w:hint="eastAsia" w:ascii="宋体" w:hAnsi="宋体" w:eastAsia="宋体" w:cs="宋体"/>
                <w:color w:val="auto"/>
                <w:kern w:val="0"/>
                <w:sz w:val="18"/>
                <w:szCs w:val="18"/>
                <w:lang w:val="en-US" w:eastAsia="zh-CN"/>
              </w:rPr>
              <w:t>0.5</w:t>
            </w:r>
            <w:r>
              <w:rPr>
                <w:rFonts w:hint="eastAsia" w:ascii="宋体" w:hAnsi="宋体" w:eastAsia="宋体" w:cs="宋体"/>
                <w:color w:val="auto"/>
                <w:kern w:val="0"/>
                <w:sz w:val="18"/>
                <w:szCs w:val="18"/>
              </w:rPr>
              <w:t>分；大于130%不得分。</w:t>
            </w:r>
          </w:p>
        </w:tc>
        <w:tc>
          <w:tcPr>
            <w:tcW w:w="3218" w:type="dxa"/>
            <w:noWrap w:val="0"/>
            <w:vAlign w:val="center"/>
          </w:tcPr>
          <w:p>
            <w:pPr>
              <w:widowControl/>
              <w:spacing w:line="300" w:lineRule="exact"/>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项目支出预算控制率=（项目支出实际支出/项目支出年度总预算）*100%。</w:t>
            </w:r>
          </w:p>
        </w:tc>
        <w:tc>
          <w:tcPr>
            <w:tcW w:w="732" w:type="dxa"/>
            <w:noWrap w:val="0"/>
            <w:vAlign w:val="center"/>
          </w:tcPr>
          <w:p>
            <w:pPr>
              <w:widowControl/>
              <w:spacing w:line="300" w:lineRule="exact"/>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1.5</w:t>
            </w:r>
          </w:p>
        </w:tc>
        <w:tc>
          <w:tcPr>
            <w:tcW w:w="1320" w:type="dxa"/>
            <w:noWrap w:val="0"/>
            <w:vAlign w:val="center"/>
          </w:tcPr>
          <w:p>
            <w:pPr>
              <w:widowControl/>
              <w:spacing w:line="300" w:lineRule="exact"/>
              <w:jc w:val="left"/>
              <w:rPr>
                <w:rFonts w:hint="eastAsia" w:ascii="宋体" w:hAnsi="宋体" w:cs="宋体"/>
                <w:kern w:val="0"/>
                <w:sz w:val="21"/>
                <w:szCs w:val="21"/>
                <w:lang w:val="en-US" w:eastAsia="zh-CN"/>
              </w:rPr>
            </w:pPr>
            <w:r>
              <w:rPr>
                <w:rFonts w:hint="eastAsia" w:ascii="宋体" w:hAnsi="宋体" w:cs="宋体"/>
                <w:kern w:val="0"/>
                <w:sz w:val="21"/>
                <w:szCs w:val="21"/>
                <w:lang w:val="en-US" w:eastAsia="zh-CN"/>
              </w:rPr>
              <w:t>8-10</w:t>
            </w:r>
          </w:p>
          <w:p>
            <w:pPr>
              <w:widowControl/>
              <w:spacing w:line="300" w:lineRule="exact"/>
              <w:jc w:val="left"/>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26-48</w:t>
            </w:r>
          </w:p>
          <w:p>
            <w:pPr>
              <w:widowControl/>
              <w:spacing w:line="300" w:lineRule="exact"/>
              <w:jc w:val="left"/>
              <w:rPr>
                <w:rFonts w:hint="default"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70-81（101-2）</w:t>
            </w:r>
          </w:p>
          <w:p>
            <w:pPr>
              <w:widowControl/>
              <w:spacing w:line="300" w:lineRule="exact"/>
              <w:jc w:val="left"/>
              <w:rPr>
                <w:rFonts w:hint="default"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(1473.03+212.14)</w:t>
            </w:r>
            <w:r>
              <w:rPr>
                <w:rFonts w:hint="eastAsia" w:ascii="宋体" w:hAnsi="宋体" w:eastAsia="宋体" w:cs="宋体"/>
                <w:color w:val="auto"/>
                <w:kern w:val="0"/>
                <w:sz w:val="21"/>
                <w:szCs w:val="21"/>
                <w:lang w:val="en-US" w:eastAsia="zh-CN"/>
              </w:rPr>
              <w:t>/</w:t>
            </w:r>
            <w:r>
              <w:rPr>
                <w:rFonts w:hint="eastAsia" w:ascii="宋体" w:hAnsi="宋体" w:cs="宋体"/>
                <w:color w:val="auto"/>
                <w:kern w:val="0"/>
                <w:sz w:val="21"/>
                <w:szCs w:val="21"/>
                <w:lang w:val="en-US" w:eastAsia="zh-CN"/>
              </w:rPr>
              <w:t>(</w:t>
            </w:r>
            <w:r>
              <w:rPr>
                <w:rFonts w:hint="eastAsia" w:ascii="宋体" w:hAnsi="宋体" w:eastAsia="宋体" w:cs="宋体"/>
                <w:color w:val="auto"/>
                <w:kern w:val="0"/>
                <w:sz w:val="21"/>
                <w:szCs w:val="21"/>
                <w:lang w:val="en-US" w:eastAsia="zh-CN"/>
              </w:rPr>
              <w:t>408.6</w:t>
            </w:r>
            <w:r>
              <w:rPr>
                <w:rFonts w:hint="eastAsia" w:ascii="宋体" w:hAnsi="宋体" w:cs="宋体"/>
                <w:color w:val="auto"/>
                <w:kern w:val="0"/>
                <w:sz w:val="21"/>
                <w:szCs w:val="21"/>
                <w:lang w:val="en-US" w:eastAsia="zh-CN"/>
              </w:rPr>
              <w:t>+1246.91)</w:t>
            </w:r>
            <w:r>
              <w:rPr>
                <w:rFonts w:hint="eastAsia" w:ascii="宋体" w:hAnsi="宋体" w:eastAsia="宋体" w:cs="宋体"/>
                <w:color w:val="auto"/>
                <w:kern w:val="0"/>
                <w:sz w:val="21"/>
                <w:szCs w:val="21"/>
                <w:lang w:val="en-US" w:eastAsia="zh-CN"/>
              </w:rPr>
              <w:t>=10</w:t>
            </w:r>
            <w:r>
              <w:rPr>
                <w:rFonts w:hint="eastAsia" w:ascii="宋体" w:hAnsi="宋体" w:cs="宋体"/>
                <w:color w:val="auto"/>
                <w:kern w:val="0"/>
                <w:sz w:val="21"/>
                <w:szCs w:val="21"/>
                <w:lang w:val="en-US" w:eastAsia="zh-CN"/>
              </w:rPr>
              <w:t>1</w:t>
            </w:r>
            <w:r>
              <w:rPr>
                <w:rFonts w:hint="eastAsia" w:ascii="宋体" w:hAnsi="宋体" w:eastAsia="宋体" w:cs="宋体"/>
                <w:color w:val="auto"/>
                <w:kern w:val="0"/>
                <w:sz w:val="21"/>
                <w:szCs w:val="21"/>
                <w:lang w:val="en-US" w:eastAsia="zh-CN"/>
              </w:rPr>
              <w:t>.</w:t>
            </w:r>
            <w:r>
              <w:rPr>
                <w:rFonts w:hint="eastAsia" w:ascii="宋体" w:hAnsi="宋体" w:cs="宋体"/>
                <w:color w:val="auto"/>
                <w:kern w:val="0"/>
                <w:sz w:val="21"/>
                <w:szCs w:val="21"/>
                <w:lang w:val="en-US" w:eastAsia="zh-CN"/>
              </w:rPr>
              <w:t>8</w:t>
            </w:r>
            <w:r>
              <w:rPr>
                <w:rFonts w:hint="eastAsia" w:ascii="宋体" w:hAnsi="宋体" w:eastAsia="宋体" w:cs="宋体"/>
                <w:color w:val="auto"/>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vMerge w:val="restart"/>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资金结余</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无结余，</w:t>
            </w:r>
            <w:r>
              <w:rPr>
                <w:rFonts w:hint="eastAsia" w:ascii="宋体" w:hAnsi="宋体" w:eastAsia="宋体" w:cs="宋体"/>
                <w:kern w:val="0"/>
                <w:sz w:val="18"/>
                <w:szCs w:val="18"/>
                <w:lang w:val="en-US" w:eastAsia="zh-CN"/>
              </w:rPr>
              <w:t>1</w:t>
            </w:r>
            <w:r>
              <w:rPr>
                <w:rFonts w:hint="eastAsia" w:ascii="宋体" w:hAnsi="宋体" w:eastAsia="宋体" w:cs="宋体"/>
                <w:kern w:val="0"/>
                <w:sz w:val="18"/>
                <w:szCs w:val="18"/>
              </w:rPr>
              <w:t>分；有结余，但不超过上年结转，</w:t>
            </w:r>
            <w:r>
              <w:rPr>
                <w:rFonts w:hint="eastAsia" w:ascii="宋体" w:hAnsi="宋体" w:eastAsia="宋体" w:cs="宋体"/>
                <w:kern w:val="0"/>
                <w:sz w:val="18"/>
                <w:szCs w:val="18"/>
                <w:lang w:val="en-US" w:eastAsia="zh-CN"/>
              </w:rPr>
              <w:t>0.5</w:t>
            </w:r>
            <w:r>
              <w:rPr>
                <w:rFonts w:hint="eastAsia" w:ascii="宋体" w:hAnsi="宋体" w:eastAsia="宋体" w:cs="宋体"/>
                <w:kern w:val="0"/>
                <w:sz w:val="18"/>
                <w:szCs w:val="18"/>
              </w:rPr>
              <w:t>分；结余超过上年结转，不得分。</w:t>
            </w:r>
          </w:p>
        </w:tc>
        <w:tc>
          <w:tcPr>
            <w:tcW w:w="3218" w:type="dxa"/>
            <w:noWrap w:val="0"/>
            <w:vAlign w:val="center"/>
          </w:tcPr>
          <w:p>
            <w:pPr>
              <w:widowControl/>
              <w:spacing w:line="300" w:lineRule="exact"/>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　</w:t>
            </w:r>
          </w:p>
        </w:tc>
        <w:tc>
          <w:tcPr>
            <w:tcW w:w="732" w:type="dxa"/>
            <w:noWrap w:val="0"/>
            <w:vAlign w:val="center"/>
          </w:tcPr>
          <w:p>
            <w:pPr>
              <w:widowControl/>
              <w:spacing w:line="300" w:lineRule="exact"/>
              <w:jc w:val="center"/>
              <w:rPr>
                <w:rFonts w:hint="default" w:ascii="宋体" w:hAnsi="宋体" w:eastAsia="宋体" w:cs="宋体"/>
                <w:color w:val="auto"/>
                <w:kern w:val="0"/>
                <w:sz w:val="21"/>
                <w:szCs w:val="21"/>
                <w:lang w:val="en-US" w:eastAsia="zh-CN"/>
              </w:rPr>
            </w:pPr>
            <w:r>
              <w:rPr>
                <w:rFonts w:hint="eastAsia" w:ascii="宋体" w:hAnsi="宋体" w:cs="宋体"/>
                <w:color w:val="auto"/>
                <w:kern w:val="0"/>
                <w:sz w:val="21"/>
                <w:szCs w:val="21"/>
                <w:lang w:val="en-US" w:eastAsia="zh-CN"/>
              </w:rPr>
              <w:t>0.5</w:t>
            </w:r>
          </w:p>
        </w:tc>
        <w:tc>
          <w:tcPr>
            <w:tcW w:w="1320" w:type="dxa"/>
            <w:noWrap w:val="0"/>
            <w:vAlign w:val="center"/>
          </w:tcPr>
          <w:p>
            <w:pPr>
              <w:widowControl/>
              <w:spacing w:line="300" w:lineRule="exact"/>
              <w:jc w:val="left"/>
              <w:rPr>
                <w:rFonts w:hint="eastAsia"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9</w:t>
            </w:r>
          </w:p>
          <w:p>
            <w:pPr>
              <w:widowControl/>
              <w:spacing w:line="300" w:lineRule="exact"/>
              <w:jc w:val="left"/>
              <w:rPr>
                <w:rFonts w:hint="eastAsia" w:ascii="宋体" w:hAnsi="宋体" w:eastAsia="宋体" w:cs="宋体"/>
                <w:color w:val="auto"/>
                <w:kern w:val="0"/>
                <w:sz w:val="21"/>
                <w:szCs w:val="21"/>
                <w:lang w:eastAsia="zh-CN"/>
              </w:rPr>
            </w:pPr>
            <w:r>
              <w:rPr>
                <w:rFonts w:hint="eastAsia" w:ascii="宋体" w:hAnsi="宋体" w:cs="宋体"/>
                <w:color w:val="auto"/>
                <w:kern w:val="0"/>
                <w:sz w:val="21"/>
                <w:szCs w:val="21"/>
                <w:lang w:eastAsia="zh-CN"/>
              </w:rPr>
              <w:t>实际为应付未付款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是否分项目核算结余结转，是，</w:t>
            </w:r>
            <w:r>
              <w:rPr>
                <w:rFonts w:hint="eastAsia" w:ascii="宋体" w:hAnsi="宋体" w:eastAsia="宋体" w:cs="宋体"/>
                <w:kern w:val="0"/>
                <w:sz w:val="18"/>
                <w:szCs w:val="18"/>
                <w:lang w:val="en-US" w:eastAsia="zh-CN"/>
              </w:rPr>
              <w:t>1</w:t>
            </w:r>
            <w:r>
              <w:rPr>
                <w:rFonts w:hint="eastAsia" w:ascii="宋体" w:hAnsi="宋体" w:eastAsia="宋体" w:cs="宋体"/>
                <w:kern w:val="0"/>
                <w:sz w:val="18"/>
                <w:szCs w:val="18"/>
              </w:rPr>
              <w:t>分；否，0分。</w:t>
            </w:r>
          </w:p>
        </w:tc>
        <w:tc>
          <w:tcPr>
            <w:tcW w:w="3218" w:type="dxa"/>
            <w:noWrap w:val="0"/>
            <w:vAlign w:val="center"/>
          </w:tcPr>
          <w:p>
            <w:pPr>
              <w:widowControl/>
              <w:spacing w:line="300" w:lineRule="exact"/>
              <w:jc w:val="left"/>
              <w:rPr>
                <w:rFonts w:hint="eastAsia" w:ascii="宋体" w:hAnsi="宋体" w:eastAsia="宋体" w:cs="宋体"/>
                <w:kern w:val="0"/>
                <w:sz w:val="18"/>
                <w:szCs w:val="18"/>
              </w:rPr>
            </w:pP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1320" w:type="dxa"/>
            <w:noWrap w:val="0"/>
            <w:vAlign w:val="center"/>
          </w:tcPr>
          <w:p>
            <w:pPr>
              <w:widowControl/>
              <w:spacing w:line="300" w:lineRule="exact"/>
              <w:jc w:val="left"/>
              <w:rPr>
                <w:rFonts w:hint="eastAsia" w:ascii="宋体" w:hAnsi="宋体" w:cs="宋体"/>
                <w:kern w:val="0"/>
                <w:sz w:val="21"/>
                <w:szCs w:val="21"/>
                <w:lang w:val="en-US" w:eastAsia="zh-CN"/>
              </w:rPr>
            </w:pPr>
            <w:r>
              <w:rPr>
                <w:rFonts w:hint="eastAsia" w:ascii="宋体" w:hAnsi="宋体" w:cs="宋体"/>
                <w:kern w:val="0"/>
                <w:sz w:val="21"/>
                <w:szCs w:val="21"/>
                <w:lang w:val="en-US" w:eastAsia="zh-CN"/>
              </w:rPr>
              <w:t>82-（101-2）</w:t>
            </w:r>
          </w:p>
          <w:p>
            <w:pPr>
              <w:widowControl/>
              <w:spacing w:line="300" w:lineRule="exact"/>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“三公经费”控制率</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以100%为标准。三公经费控制率≦100%，计</w:t>
            </w:r>
            <w:r>
              <w:rPr>
                <w:rFonts w:hint="eastAsia" w:ascii="宋体" w:hAnsi="宋体" w:eastAsia="宋体" w:cs="宋体"/>
                <w:kern w:val="0"/>
                <w:sz w:val="18"/>
                <w:szCs w:val="18"/>
                <w:lang w:val="en-US" w:eastAsia="zh-CN"/>
              </w:rPr>
              <w:t>2</w:t>
            </w:r>
            <w:r>
              <w:rPr>
                <w:rFonts w:hint="eastAsia" w:ascii="宋体" w:hAnsi="宋体" w:eastAsia="宋体" w:cs="宋体"/>
                <w:kern w:val="0"/>
                <w:sz w:val="18"/>
                <w:szCs w:val="18"/>
              </w:rPr>
              <w:t>分；每超过一个百分点扣1分，扣完为止。</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“三公经费”控制率-（“三公经费”实际支出数/“三公经费”预算安排数）×100%。</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1320" w:type="dxa"/>
            <w:noWrap w:val="0"/>
            <w:vAlign w:val="center"/>
          </w:tcPr>
          <w:p>
            <w:pPr>
              <w:widowControl/>
              <w:spacing w:line="300" w:lineRule="exact"/>
              <w:jc w:val="left"/>
              <w:rPr>
                <w:rFonts w:hint="eastAsia" w:ascii="宋体" w:hAnsi="宋体" w:cs="宋体"/>
                <w:kern w:val="0"/>
                <w:sz w:val="21"/>
                <w:szCs w:val="21"/>
                <w:lang w:val="en-US" w:eastAsia="zh-CN"/>
              </w:rPr>
            </w:pPr>
            <w:r>
              <w:rPr>
                <w:rFonts w:hint="eastAsia" w:ascii="宋体" w:hAnsi="宋体" w:cs="宋体"/>
                <w:kern w:val="0"/>
                <w:sz w:val="21"/>
                <w:szCs w:val="21"/>
                <w:lang w:val="en-US" w:eastAsia="zh-CN"/>
              </w:rPr>
              <w:t>25</w:t>
            </w:r>
          </w:p>
          <w:p>
            <w:pPr>
              <w:widowControl/>
              <w:spacing w:line="300" w:lineRule="exact"/>
              <w:jc w:val="left"/>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3.05/21.5=13.72%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584" w:type="dxa"/>
            <w:vMerge w:val="restart"/>
            <w:noWrap w:val="0"/>
            <w:textDirection w:val="tbRlV"/>
            <w:vAlign w:val="center"/>
          </w:tcPr>
          <w:p>
            <w:pPr>
              <w:widowControl/>
              <w:spacing w:line="300" w:lineRule="exact"/>
              <w:jc w:val="center"/>
              <w:rPr>
                <w:rFonts w:ascii="仿宋" w:hAnsi="仿宋"/>
                <w:kern w:val="0"/>
                <w:sz w:val="24"/>
              </w:rPr>
            </w:pPr>
            <w:r>
              <w:rPr>
                <w:rFonts w:ascii="仿宋" w:hAnsi="仿宋"/>
                <w:kern w:val="0"/>
                <w:sz w:val="24"/>
              </w:rPr>
              <w:t>过      程</w:t>
            </w:r>
          </w:p>
        </w:tc>
        <w:tc>
          <w:tcPr>
            <w:tcW w:w="518" w:type="dxa"/>
            <w:vMerge w:val="restart"/>
            <w:noWrap w:val="0"/>
            <w:vAlign w:val="center"/>
          </w:tcPr>
          <w:p>
            <w:pPr>
              <w:widowControl/>
              <w:spacing w:line="300" w:lineRule="exact"/>
              <w:jc w:val="left"/>
              <w:rPr>
                <w:rFonts w:hint="eastAsia" w:ascii="宋体" w:hAnsi="宋体" w:eastAsia="宋体" w:cs="宋体"/>
                <w:kern w:val="0"/>
                <w:sz w:val="21"/>
                <w:szCs w:val="21"/>
              </w:rPr>
            </w:pPr>
            <w:r>
              <w:rPr>
                <w:rFonts w:hint="eastAsia" w:ascii="宋体" w:hAnsi="宋体" w:eastAsia="宋体" w:cs="宋体"/>
                <w:kern w:val="0"/>
                <w:sz w:val="21"/>
                <w:szCs w:val="21"/>
              </w:rPr>
              <w:t>预算管理</w:t>
            </w:r>
          </w:p>
        </w:tc>
        <w:tc>
          <w:tcPr>
            <w:tcW w:w="819" w:type="dxa"/>
            <w:vMerge w:val="restart"/>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6</w:t>
            </w: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管理制度健全性</w:t>
            </w:r>
          </w:p>
        </w:tc>
        <w:tc>
          <w:tcPr>
            <w:tcW w:w="945"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①已制定或具有预算资金管理办法，内部财务管理制度、会计核算制度等管理制度，1分；②相关管理制度合法、合规、完整，1分。</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　</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1320" w:type="dxa"/>
            <w:noWrap w:val="0"/>
            <w:vAlign w:val="center"/>
          </w:tcPr>
          <w:p>
            <w:pPr>
              <w:widowControl/>
              <w:spacing w:line="300" w:lineRule="exact"/>
              <w:jc w:val="left"/>
              <w:rPr>
                <w:rFonts w:hint="eastAsia" w:ascii="宋体" w:hAnsi="宋体" w:cs="宋体"/>
                <w:kern w:val="0"/>
                <w:sz w:val="21"/>
                <w:szCs w:val="21"/>
                <w:lang w:val="en-US" w:eastAsia="zh-CN"/>
              </w:rPr>
            </w:pPr>
            <w:r>
              <w:rPr>
                <w:rFonts w:hint="eastAsia" w:ascii="宋体" w:hAnsi="宋体" w:cs="宋体"/>
                <w:kern w:val="0"/>
                <w:sz w:val="21"/>
                <w:szCs w:val="21"/>
                <w:lang w:val="en-US" w:eastAsia="zh-CN"/>
              </w:rPr>
              <w:t>104-108</w:t>
            </w:r>
          </w:p>
          <w:p>
            <w:pPr>
              <w:widowControl/>
              <w:spacing w:line="300" w:lineRule="exact"/>
              <w:jc w:val="left"/>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109-113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专账核算</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项目支出是否分项目单独核算，是，</w:t>
            </w:r>
            <w:r>
              <w:rPr>
                <w:rFonts w:hint="eastAsia" w:ascii="宋体" w:hAnsi="宋体" w:eastAsia="宋体" w:cs="宋体"/>
                <w:kern w:val="0"/>
                <w:sz w:val="18"/>
                <w:szCs w:val="18"/>
                <w:lang w:val="en-US" w:eastAsia="zh-CN"/>
              </w:rPr>
              <w:t>1</w:t>
            </w:r>
            <w:r>
              <w:rPr>
                <w:rFonts w:hint="eastAsia" w:ascii="宋体" w:hAnsi="宋体" w:eastAsia="宋体" w:cs="宋体"/>
                <w:kern w:val="0"/>
                <w:sz w:val="18"/>
                <w:szCs w:val="18"/>
              </w:rPr>
              <w:t>分；否，0分。</w:t>
            </w:r>
          </w:p>
        </w:tc>
        <w:tc>
          <w:tcPr>
            <w:tcW w:w="3218" w:type="dxa"/>
            <w:noWrap w:val="0"/>
            <w:vAlign w:val="center"/>
          </w:tcPr>
          <w:p>
            <w:pPr>
              <w:widowControl/>
              <w:spacing w:line="300" w:lineRule="exact"/>
              <w:jc w:val="left"/>
              <w:rPr>
                <w:rFonts w:hint="eastAsia" w:ascii="宋体" w:hAnsi="宋体" w:eastAsia="宋体" w:cs="宋体"/>
                <w:kern w:val="0"/>
                <w:sz w:val="18"/>
                <w:szCs w:val="18"/>
              </w:rPr>
            </w:pP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1320" w:type="dxa"/>
            <w:noWrap w:val="0"/>
            <w:vAlign w:val="center"/>
          </w:tcPr>
          <w:p>
            <w:pPr>
              <w:widowControl/>
              <w:spacing w:line="300" w:lineRule="exact"/>
              <w:jc w:val="left"/>
              <w:rPr>
                <w:rFonts w:hint="eastAsia" w:ascii="宋体" w:hAnsi="宋体" w:cs="宋体"/>
                <w:kern w:val="0"/>
                <w:sz w:val="21"/>
                <w:szCs w:val="21"/>
                <w:lang w:val="en-US" w:eastAsia="zh-CN"/>
              </w:rPr>
            </w:pPr>
            <w:r>
              <w:rPr>
                <w:rFonts w:hint="eastAsia" w:ascii="宋体" w:hAnsi="宋体" w:cs="宋体"/>
                <w:kern w:val="0"/>
                <w:sz w:val="21"/>
                <w:szCs w:val="21"/>
                <w:lang w:val="en-US" w:eastAsia="zh-CN"/>
              </w:rPr>
              <w:t>（101-2）</w:t>
            </w:r>
          </w:p>
          <w:p>
            <w:pPr>
              <w:widowControl/>
              <w:spacing w:line="300" w:lineRule="exact"/>
              <w:jc w:val="left"/>
              <w:rPr>
                <w:rFonts w:hint="eastAsia"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4"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预决算信息公开性和完善性</w:t>
            </w:r>
          </w:p>
        </w:tc>
        <w:tc>
          <w:tcPr>
            <w:tcW w:w="945"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 xml:space="preserve">①按规定内容公开预决算信息，1分；②按规定时限公开预决算信息，1分。                                            </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 xml:space="preserve">预决算信息是指与部门预算、执行、决算、监督、绩效等管理相关的信息。                                            </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1320" w:type="dxa"/>
            <w:noWrap w:val="0"/>
            <w:vAlign w:val="center"/>
          </w:tcPr>
          <w:p>
            <w:pPr>
              <w:widowControl/>
              <w:spacing w:line="300" w:lineRule="exact"/>
              <w:jc w:val="left"/>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left"/>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政府采购完成情况</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达到政府采购要求的是否进行了政府采购，是，</w:t>
            </w:r>
            <w:r>
              <w:rPr>
                <w:rFonts w:hint="eastAsia" w:ascii="宋体" w:hAnsi="宋体" w:eastAsia="宋体" w:cs="宋体"/>
                <w:kern w:val="0"/>
                <w:sz w:val="18"/>
                <w:szCs w:val="18"/>
                <w:lang w:val="en-US" w:eastAsia="zh-CN"/>
              </w:rPr>
              <w:t>1</w:t>
            </w:r>
            <w:r>
              <w:rPr>
                <w:rFonts w:hint="eastAsia" w:ascii="宋体" w:hAnsi="宋体" w:eastAsia="宋体" w:cs="宋体"/>
                <w:kern w:val="0"/>
                <w:sz w:val="18"/>
                <w:szCs w:val="18"/>
              </w:rPr>
              <w:t>分；否，0分。</w:t>
            </w:r>
          </w:p>
        </w:tc>
        <w:tc>
          <w:tcPr>
            <w:tcW w:w="3218" w:type="dxa"/>
            <w:noWrap w:val="0"/>
            <w:vAlign w:val="center"/>
          </w:tcPr>
          <w:p>
            <w:pPr>
              <w:widowControl/>
              <w:spacing w:line="300" w:lineRule="exact"/>
              <w:jc w:val="left"/>
              <w:rPr>
                <w:rFonts w:hint="eastAsia" w:ascii="宋体" w:hAnsi="宋体" w:eastAsia="宋体" w:cs="宋体"/>
                <w:kern w:val="0"/>
                <w:sz w:val="18"/>
                <w:szCs w:val="18"/>
              </w:rPr>
            </w:pP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w:t>
            </w:r>
          </w:p>
        </w:tc>
        <w:tc>
          <w:tcPr>
            <w:tcW w:w="1320" w:type="dxa"/>
            <w:noWrap w:val="0"/>
            <w:vAlign w:val="center"/>
          </w:tcPr>
          <w:p>
            <w:pPr>
              <w:widowControl/>
              <w:spacing w:line="300" w:lineRule="exact"/>
              <w:jc w:val="left"/>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114-121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jc w:val="center"/>
        </w:trPr>
        <w:tc>
          <w:tcPr>
            <w:tcW w:w="584" w:type="dxa"/>
            <w:vMerge w:val="continue"/>
            <w:noWrap w:val="0"/>
            <w:vAlign w:val="center"/>
          </w:tcPr>
          <w:p>
            <w:pPr>
              <w:widowControl/>
              <w:spacing w:line="300" w:lineRule="exact"/>
              <w:jc w:val="left"/>
              <w:rPr>
                <w:rFonts w:ascii="仿宋" w:hAnsi="仿宋"/>
                <w:kern w:val="0"/>
                <w:sz w:val="24"/>
              </w:rPr>
            </w:pPr>
          </w:p>
        </w:tc>
        <w:tc>
          <w:tcPr>
            <w:tcW w:w="518"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资产管理</w:t>
            </w:r>
          </w:p>
        </w:tc>
        <w:tc>
          <w:tcPr>
            <w:tcW w:w="819"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管理制度健全性</w:t>
            </w:r>
          </w:p>
        </w:tc>
        <w:tc>
          <w:tcPr>
            <w:tcW w:w="945"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2</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①已制定或具有资产管理制度，1分；②相关资产管理制度合法、合规、完整，1分</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 xml:space="preserve">                                           </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部门（单位）为加强资产管理，规范资产管理行为而制定的管理制度是否健全完整、用以反映和考核部门（单位）资产管理制度对完成主要职责或促进社会发展的保障情况。</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w:t>
            </w:r>
          </w:p>
        </w:tc>
        <w:tc>
          <w:tcPr>
            <w:tcW w:w="1320" w:type="dxa"/>
            <w:noWrap w:val="0"/>
            <w:vAlign w:val="center"/>
          </w:tcPr>
          <w:p>
            <w:pPr>
              <w:widowControl/>
              <w:spacing w:line="300" w:lineRule="exact"/>
              <w:jc w:val="left"/>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104-108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4" w:hRule="atLeast"/>
          <w:jc w:val="center"/>
        </w:trPr>
        <w:tc>
          <w:tcPr>
            <w:tcW w:w="584" w:type="dxa"/>
            <w:vMerge w:val="restart"/>
            <w:noWrap w:val="0"/>
            <w:textDirection w:val="tbRlV"/>
            <w:vAlign w:val="center"/>
          </w:tcPr>
          <w:p>
            <w:pPr>
              <w:widowControl/>
              <w:spacing w:line="300" w:lineRule="exact"/>
              <w:ind w:firstLine="1200" w:firstLineChars="500"/>
              <w:jc w:val="center"/>
              <w:rPr>
                <w:rFonts w:hint="eastAsia" w:ascii="仿宋" w:hAnsi="仿宋"/>
                <w:kern w:val="0"/>
                <w:sz w:val="24"/>
              </w:rPr>
            </w:pPr>
            <w:r>
              <w:rPr>
                <w:rFonts w:hint="eastAsia" w:ascii="仿宋" w:hAnsi="仿宋"/>
                <w:kern w:val="0"/>
                <w:sz w:val="24"/>
              </w:rPr>
              <w:t>绩     效</w:t>
            </w:r>
          </w:p>
        </w:tc>
        <w:tc>
          <w:tcPr>
            <w:tcW w:w="518" w:type="dxa"/>
            <w:vMerge w:val="restart"/>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职责 履行</w:t>
            </w:r>
          </w:p>
        </w:tc>
        <w:tc>
          <w:tcPr>
            <w:tcW w:w="819" w:type="dxa"/>
            <w:vMerge w:val="restart"/>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30</w:t>
            </w:r>
          </w:p>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数量指标实际完成率</w:t>
            </w:r>
          </w:p>
        </w:tc>
        <w:tc>
          <w:tcPr>
            <w:tcW w:w="945"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9</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数量指标实际完成率=100%，计9分；90%-99%，计8分，此后按每下降10%区间，扣一分，扣完为止。</w:t>
            </w:r>
          </w:p>
        </w:tc>
        <w:tc>
          <w:tcPr>
            <w:tcW w:w="3218" w:type="dxa"/>
            <w:noWrap w:val="0"/>
            <w:vAlign w:val="center"/>
          </w:tcPr>
          <w:p>
            <w:pPr>
              <w:rPr>
                <w:rFonts w:hint="eastAsia" w:ascii="宋体" w:hAnsi="宋体" w:eastAsia="宋体" w:cs="宋体"/>
                <w:sz w:val="18"/>
                <w:szCs w:val="18"/>
              </w:rPr>
            </w:pPr>
            <w:r>
              <w:rPr>
                <w:rFonts w:hint="eastAsia" w:ascii="宋体" w:hAnsi="宋体" w:eastAsia="宋体" w:cs="宋体"/>
                <w:kern w:val="0"/>
                <w:sz w:val="18"/>
                <w:szCs w:val="18"/>
              </w:rPr>
              <w:t>实际完成率=（实际完成工作数/计划工作数）×100%。</w:t>
            </w:r>
            <w:r>
              <w:rPr>
                <w:rFonts w:hint="eastAsia" w:ascii="宋体" w:hAnsi="宋体" w:eastAsia="宋体" w:cs="宋体"/>
                <w:kern w:val="0"/>
                <w:sz w:val="18"/>
                <w:szCs w:val="18"/>
              </w:rPr>
              <w:br w:type="textWrapping"/>
            </w:r>
            <w:r>
              <w:rPr>
                <w:rFonts w:hint="eastAsia" w:ascii="宋体" w:hAnsi="宋体" w:eastAsia="宋体" w:cs="宋体"/>
                <w:kern w:val="0"/>
                <w:sz w:val="18"/>
                <w:szCs w:val="18"/>
              </w:rPr>
              <w:t>计划工作数：符合相关政策、文件和规划要求的工作任务数量，申报不足的按实际应完成数量计算。</w:t>
            </w:r>
          </w:p>
        </w:tc>
        <w:tc>
          <w:tcPr>
            <w:tcW w:w="732" w:type="dxa"/>
            <w:noWrap w:val="0"/>
            <w:vAlign w:val="center"/>
          </w:tcPr>
          <w:p>
            <w:pPr>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w:t>
            </w:r>
          </w:p>
        </w:tc>
        <w:tc>
          <w:tcPr>
            <w:tcW w:w="1320" w:type="dxa"/>
            <w:noWrap w:val="0"/>
            <w:vAlign w:val="center"/>
          </w:tcPr>
          <w:p>
            <w:pP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19及（册二1-147）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jc w:val="center"/>
              <w:rPr>
                <w:rFonts w:hint="eastAsia" w:ascii="宋体" w:hAnsi="宋体" w:eastAsia="宋体" w:cs="宋体"/>
                <w:kern w:val="0"/>
                <w:sz w:val="21"/>
                <w:szCs w:val="21"/>
              </w:rPr>
            </w:pPr>
            <w:r>
              <w:rPr>
                <w:rFonts w:hint="eastAsia" w:ascii="宋体" w:hAnsi="宋体" w:eastAsia="宋体" w:cs="宋体"/>
                <w:kern w:val="0"/>
                <w:sz w:val="21"/>
                <w:szCs w:val="21"/>
              </w:rPr>
              <w:t>重点工作办结率</w:t>
            </w:r>
          </w:p>
        </w:tc>
        <w:tc>
          <w:tcPr>
            <w:tcW w:w="945"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重点工作办结率=100%，计7分；90%-99%，计6分，此后按每下降10%区间，扣一分，扣完为止。</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重点工作办结率=（重点工作实际完成数/交办或下达数）×100%。</w:t>
            </w:r>
            <w:r>
              <w:rPr>
                <w:rFonts w:hint="eastAsia" w:ascii="宋体" w:hAnsi="宋体" w:eastAsia="宋体" w:cs="宋体"/>
                <w:kern w:val="0"/>
                <w:sz w:val="18"/>
                <w:szCs w:val="18"/>
              </w:rPr>
              <w:br w:type="textWrapping"/>
            </w:r>
            <w:r>
              <w:rPr>
                <w:rFonts w:hint="eastAsia" w:ascii="宋体" w:hAnsi="宋体" w:eastAsia="宋体" w:cs="宋体"/>
                <w:kern w:val="0"/>
                <w:sz w:val="18"/>
                <w:szCs w:val="18"/>
              </w:rPr>
              <w:t>重点工作是指党委、政府、人大、相关部门交办或下达的工作任务。交办或下达数申报不足的，按实际应完成数量计算。</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7</w:t>
            </w:r>
          </w:p>
        </w:tc>
        <w:tc>
          <w:tcPr>
            <w:tcW w:w="1320" w:type="dxa"/>
            <w:noWrap w:val="0"/>
            <w:vAlign w:val="center"/>
          </w:tcPr>
          <w:p>
            <w:pPr>
              <w:widowControl/>
              <w:spacing w:line="300" w:lineRule="exact"/>
              <w:jc w:val="left"/>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19及（册二20-56）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8"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质量指标达标率</w:t>
            </w:r>
          </w:p>
        </w:tc>
        <w:tc>
          <w:tcPr>
            <w:tcW w:w="945"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质量指标达标率=100%，计7分；90%-99%，计6分，此后按每下降10%区间，扣一分，扣完为止。</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质量达标率=（质量达标实际工作数/计划工作数）×100%。</w:t>
            </w:r>
            <w:r>
              <w:rPr>
                <w:rFonts w:hint="eastAsia" w:ascii="宋体" w:hAnsi="宋体" w:eastAsia="宋体" w:cs="宋体"/>
                <w:kern w:val="0"/>
                <w:sz w:val="18"/>
                <w:szCs w:val="18"/>
              </w:rPr>
              <w:br w:type="textWrapping"/>
            </w:r>
            <w:r>
              <w:rPr>
                <w:rFonts w:hint="eastAsia" w:ascii="宋体" w:hAnsi="宋体" w:eastAsia="宋体" w:cs="宋体"/>
                <w:kern w:val="0"/>
                <w:sz w:val="18"/>
                <w:szCs w:val="18"/>
              </w:rPr>
              <w:t>计划工作数：一定时期（年度或规划期）内部门按相关政策、文件和规划质量要求应完成工作任务数。申报不足的按实际应完成数量计算。</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7</w:t>
            </w:r>
          </w:p>
        </w:tc>
        <w:tc>
          <w:tcPr>
            <w:tcW w:w="1320" w:type="dxa"/>
            <w:noWrap w:val="0"/>
            <w:vAlign w:val="center"/>
          </w:tcPr>
          <w:p>
            <w:pPr>
              <w:widowControl/>
              <w:spacing w:line="300" w:lineRule="exact"/>
              <w:jc w:val="left"/>
              <w:rPr>
                <w:rFonts w:hint="eastAsia" w:ascii="宋体" w:hAnsi="宋体" w:eastAsia="宋体" w:cs="宋体"/>
                <w:kern w:val="0"/>
                <w:sz w:val="21"/>
                <w:szCs w:val="21"/>
              </w:rPr>
            </w:pPr>
            <w:r>
              <w:rPr>
                <w:rFonts w:hint="eastAsia" w:ascii="宋体" w:hAnsi="宋体" w:cs="宋体"/>
                <w:kern w:val="0"/>
                <w:sz w:val="21"/>
                <w:szCs w:val="21"/>
                <w:lang w:val="en-US" w:eastAsia="zh-CN"/>
              </w:rPr>
              <w:t>19及（册二佐证材料）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0"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时效指标完成及时率</w:t>
            </w:r>
          </w:p>
        </w:tc>
        <w:tc>
          <w:tcPr>
            <w:tcW w:w="945"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7</w:t>
            </w:r>
          </w:p>
        </w:tc>
        <w:tc>
          <w:tcPr>
            <w:tcW w:w="2196"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时效指标完成及时率=100%,计7分；90%-99%，计6分，此后按每下降10%区间，扣一分，扣完为止。</w:t>
            </w:r>
          </w:p>
        </w:tc>
        <w:tc>
          <w:tcPr>
            <w:tcW w:w="3218" w:type="dxa"/>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完成及时率=（及时完成实际工作数/计划工作数）×100%。</w:t>
            </w:r>
            <w:r>
              <w:rPr>
                <w:rFonts w:hint="eastAsia" w:ascii="宋体" w:hAnsi="宋体" w:eastAsia="宋体" w:cs="宋体"/>
                <w:kern w:val="0"/>
                <w:sz w:val="18"/>
                <w:szCs w:val="18"/>
              </w:rPr>
              <w:br w:type="textWrapping"/>
            </w:r>
            <w:r>
              <w:rPr>
                <w:rFonts w:hint="eastAsia" w:ascii="宋体" w:hAnsi="宋体" w:eastAsia="宋体" w:cs="宋体"/>
                <w:kern w:val="0"/>
                <w:sz w:val="18"/>
                <w:szCs w:val="18"/>
              </w:rPr>
              <w:t>计划工作数：部门按照相关政策、文件和规划要求确定的时限应完成的工作任务数量。申报不足的按实际应完成数量计算。</w:t>
            </w:r>
          </w:p>
        </w:tc>
        <w:tc>
          <w:tcPr>
            <w:tcW w:w="732"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7</w:t>
            </w:r>
          </w:p>
        </w:tc>
        <w:tc>
          <w:tcPr>
            <w:tcW w:w="1320" w:type="dxa"/>
            <w:noWrap w:val="0"/>
            <w:vAlign w:val="center"/>
          </w:tcPr>
          <w:p>
            <w:pPr>
              <w:widowControl/>
              <w:spacing w:line="300" w:lineRule="exact"/>
              <w:jc w:val="left"/>
              <w:rPr>
                <w:rFonts w:hint="eastAsia" w:ascii="宋体" w:hAnsi="宋体" w:eastAsia="宋体" w:cs="宋体"/>
                <w:kern w:val="0"/>
                <w:sz w:val="21"/>
                <w:szCs w:val="21"/>
              </w:rPr>
            </w:pPr>
            <w:r>
              <w:rPr>
                <w:rFonts w:hint="eastAsia" w:ascii="宋体" w:hAnsi="宋体" w:cs="宋体"/>
                <w:kern w:val="0"/>
                <w:sz w:val="21"/>
                <w:szCs w:val="21"/>
                <w:lang w:val="en-US" w:eastAsia="zh-CN"/>
              </w:rPr>
              <w:t>19及（册二161-166）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vMerge w:val="restart"/>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履职 效益</w:t>
            </w:r>
          </w:p>
        </w:tc>
        <w:tc>
          <w:tcPr>
            <w:tcW w:w="819" w:type="dxa"/>
            <w:vMerge w:val="restart"/>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35</w:t>
            </w: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经济效益</w:t>
            </w:r>
          </w:p>
        </w:tc>
        <w:tc>
          <w:tcPr>
            <w:tcW w:w="945" w:type="dxa"/>
            <w:vMerge w:val="restart"/>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35</w:t>
            </w:r>
          </w:p>
        </w:tc>
        <w:tc>
          <w:tcPr>
            <w:tcW w:w="2196" w:type="dxa"/>
            <w:vMerge w:val="restart"/>
            <w:noWrap w:val="0"/>
            <w:vAlign w:val="center"/>
          </w:tcPr>
          <w:p>
            <w:pPr>
              <w:widowControl/>
              <w:spacing w:line="300" w:lineRule="exact"/>
              <w:jc w:val="left"/>
              <w:rPr>
                <w:rFonts w:hint="eastAsia" w:ascii="宋体" w:hAnsi="宋体" w:eastAsia="宋体" w:cs="宋体"/>
                <w:kern w:val="0"/>
                <w:sz w:val="18"/>
                <w:szCs w:val="18"/>
              </w:rPr>
            </w:pPr>
            <w:r>
              <w:rPr>
                <w:rFonts w:hint="eastAsia" w:ascii="宋体" w:hAnsi="宋体" w:eastAsia="宋体" w:cs="宋体"/>
                <w:kern w:val="0"/>
                <w:sz w:val="18"/>
                <w:szCs w:val="18"/>
              </w:rPr>
              <w:t>有相关文件、资料、数据支撑或证明所设效益指标达成的，计</w:t>
            </w:r>
            <w:r>
              <w:rPr>
                <w:rFonts w:hint="eastAsia" w:ascii="宋体" w:hAnsi="宋体" w:eastAsia="宋体" w:cs="宋体"/>
                <w:kern w:val="0"/>
                <w:sz w:val="18"/>
                <w:szCs w:val="18"/>
                <w:lang w:val="en-US" w:eastAsia="zh-CN"/>
              </w:rPr>
              <w:t>35</w:t>
            </w:r>
            <w:r>
              <w:rPr>
                <w:rFonts w:hint="eastAsia" w:ascii="宋体" w:hAnsi="宋体" w:eastAsia="宋体" w:cs="宋体"/>
                <w:kern w:val="0"/>
                <w:sz w:val="18"/>
                <w:szCs w:val="18"/>
              </w:rPr>
              <w:t>分，不</w:t>
            </w:r>
            <w:r>
              <w:rPr>
                <w:rFonts w:hint="eastAsia" w:ascii="宋体" w:hAnsi="宋体" w:eastAsia="宋体" w:cs="宋体"/>
                <w:kern w:val="0"/>
                <w:sz w:val="18"/>
                <w:szCs w:val="18"/>
                <w:lang w:val="en-US" w:eastAsia="zh-CN"/>
              </w:rPr>
              <w:t>对应产出设置相应</w:t>
            </w:r>
            <w:r>
              <w:rPr>
                <w:rFonts w:hint="eastAsia" w:ascii="宋体" w:hAnsi="宋体" w:eastAsia="宋体" w:cs="宋体"/>
                <w:kern w:val="0"/>
                <w:sz w:val="18"/>
                <w:szCs w:val="18"/>
              </w:rPr>
              <w:t>效益指标或无</w:t>
            </w:r>
            <w:r>
              <w:rPr>
                <w:rFonts w:hint="eastAsia" w:ascii="宋体" w:hAnsi="宋体" w:eastAsia="宋体" w:cs="宋体"/>
                <w:kern w:val="0"/>
                <w:sz w:val="18"/>
                <w:szCs w:val="18"/>
                <w:lang w:val="en-US" w:eastAsia="zh-CN"/>
              </w:rPr>
              <w:t>对应证明</w:t>
            </w:r>
            <w:r>
              <w:rPr>
                <w:rFonts w:hint="eastAsia" w:ascii="宋体" w:hAnsi="宋体" w:eastAsia="宋体" w:cs="宋体"/>
                <w:kern w:val="0"/>
                <w:sz w:val="18"/>
                <w:szCs w:val="18"/>
              </w:rPr>
              <w:t>材料的，</w:t>
            </w:r>
            <w:r>
              <w:rPr>
                <w:rFonts w:hint="eastAsia" w:ascii="宋体" w:hAnsi="宋体" w:eastAsia="宋体" w:cs="宋体"/>
                <w:kern w:val="0"/>
                <w:sz w:val="18"/>
                <w:szCs w:val="18"/>
                <w:lang w:val="en-US" w:eastAsia="zh-CN"/>
              </w:rPr>
              <w:t>相应扣分至0为止</w:t>
            </w:r>
            <w:r>
              <w:rPr>
                <w:rFonts w:hint="eastAsia" w:ascii="宋体" w:hAnsi="宋体" w:eastAsia="宋体" w:cs="宋体"/>
                <w:kern w:val="0"/>
                <w:sz w:val="18"/>
                <w:szCs w:val="18"/>
              </w:rPr>
              <w:t>。</w:t>
            </w:r>
          </w:p>
        </w:tc>
        <w:tc>
          <w:tcPr>
            <w:tcW w:w="3218" w:type="dxa"/>
            <w:vMerge w:val="restart"/>
            <w:noWrap w:val="0"/>
            <w:vAlign w:val="center"/>
          </w:tcPr>
          <w:p>
            <w:pPr>
              <w:widowControl/>
              <w:spacing w:line="300" w:lineRule="exact"/>
              <w:jc w:val="left"/>
              <w:rPr>
                <w:rFonts w:hint="eastAsia" w:ascii="宋体" w:hAnsi="宋体" w:eastAsia="宋体" w:cs="宋体"/>
                <w:sz w:val="18"/>
                <w:szCs w:val="18"/>
              </w:rPr>
            </w:pPr>
            <w:r>
              <w:rPr>
                <w:rFonts w:hint="eastAsia" w:ascii="宋体" w:hAnsi="宋体" w:eastAsia="宋体" w:cs="宋体"/>
                <w:kern w:val="0"/>
                <w:sz w:val="18"/>
                <w:szCs w:val="18"/>
              </w:rPr>
              <w:t>可根据部门实际并结合产出指标有选择的进行设置，指标应对应产出进行细化，指标值应量化或定性化。</w:t>
            </w:r>
          </w:p>
        </w:tc>
        <w:tc>
          <w:tcPr>
            <w:tcW w:w="732" w:type="dxa"/>
            <w:noWrap w:val="0"/>
            <w:vAlign w:val="center"/>
          </w:tcPr>
          <w:p>
            <w:pPr>
              <w:widowControl/>
              <w:spacing w:line="300" w:lineRule="exact"/>
              <w:jc w:val="center"/>
              <w:rPr>
                <w:rFonts w:hint="default" w:ascii="宋体" w:hAnsi="宋体" w:eastAsia="宋体" w:cs="宋体"/>
                <w:kern w:val="0"/>
                <w:sz w:val="21"/>
                <w:szCs w:val="21"/>
                <w:lang w:val="en-US" w:eastAsia="zh-CN"/>
              </w:rPr>
            </w:pPr>
            <w:r>
              <w:rPr>
                <w:rFonts w:hint="eastAsia" w:ascii="宋体" w:hAnsi="宋体" w:cs="宋体"/>
                <w:kern w:val="0"/>
                <w:sz w:val="21"/>
                <w:szCs w:val="21"/>
                <w:lang w:val="en-US" w:eastAsia="zh-CN"/>
              </w:rPr>
              <w:t>13</w:t>
            </w:r>
          </w:p>
        </w:tc>
        <w:tc>
          <w:tcPr>
            <w:tcW w:w="1320" w:type="dxa"/>
            <w:noWrap w:val="0"/>
            <w:vAlign w:val="center"/>
          </w:tcPr>
          <w:p>
            <w:pPr>
              <w:widowControl/>
              <w:spacing w:line="300" w:lineRule="exact"/>
              <w:jc w:val="left"/>
              <w:rPr>
                <w:rFonts w:hint="eastAsia" w:ascii="宋体" w:hAnsi="宋体" w:cs="宋体"/>
                <w:kern w:val="0"/>
                <w:sz w:val="21"/>
                <w:szCs w:val="21"/>
                <w:lang w:val="en-US" w:eastAsia="zh-CN"/>
              </w:rPr>
            </w:pPr>
            <w:r>
              <w:rPr>
                <w:rFonts w:hint="eastAsia" w:ascii="宋体" w:hAnsi="宋体" w:cs="宋体"/>
                <w:kern w:val="0"/>
                <w:sz w:val="21"/>
                <w:szCs w:val="21"/>
                <w:lang w:val="en-US" w:eastAsia="zh-CN"/>
              </w:rPr>
              <w:t>册二（146-147</w:t>
            </w:r>
          </w:p>
          <w:p>
            <w:pPr>
              <w:widowControl/>
              <w:spacing w:line="300" w:lineRule="exact"/>
              <w:jc w:val="left"/>
              <w:rPr>
                <w:rFonts w:hint="eastAsia" w:ascii="宋体" w:hAnsi="宋体" w:eastAsia="宋体" w:cs="宋体"/>
                <w:kern w:val="0"/>
                <w:sz w:val="21"/>
                <w:szCs w:val="21"/>
              </w:rPr>
            </w:pPr>
            <w:r>
              <w:rPr>
                <w:rFonts w:hint="eastAsia" w:ascii="宋体" w:hAnsi="宋体" w:cs="宋体"/>
                <w:kern w:val="0"/>
                <w:sz w:val="21"/>
                <w:szCs w:val="21"/>
                <w:lang w:val="en-US" w:eastAsia="zh-CN"/>
              </w:rPr>
              <w:t>153-156）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jc w:val="center"/>
              <w:rPr>
                <w:rFonts w:hint="eastAsia" w:ascii="宋体" w:hAnsi="宋体" w:eastAsia="宋体" w:cs="宋体"/>
                <w:kern w:val="0"/>
                <w:sz w:val="21"/>
                <w:szCs w:val="21"/>
              </w:rPr>
            </w:pPr>
            <w:r>
              <w:rPr>
                <w:rFonts w:hint="eastAsia" w:ascii="宋体" w:hAnsi="宋体" w:eastAsia="宋体" w:cs="宋体"/>
                <w:kern w:val="0"/>
                <w:sz w:val="21"/>
                <w:szCs w:val="21"/>
              </w:rPr>
              <w:t>社会效益</w:t>
            </w:r>
          </w:p>
        </w:tc>
        <w:tc>
          <w:tcPr>
            <w:tcW w:w="945"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2196" w:type="dxa"/>
            <w:vMerge w:val="continue"/>
            <w:noWrap w:val="0"/>
            <w:vAlign w:val="center"/>
          </w:tcPr>
          <w:p>
            <w:pPr>
              <w:widowControl/>
              <w:spacing w:line="300" w:lineRule="exact"/>
              <w:jc w:val="left"/>
              <w:rPr>
                <w:rFonts w:hint="eastAsia" w:ascii="宋体" w:hAnsi="宋体" w:eastAsia="宋体" w:cs="宋体"/>
                <w:kern w:val="0"/>
                <w:sz w:val="18"/>
                <w:szCs w:val="18"/>
              </w:rPr>
            </w:pPr>
          </w:p>
        </w:tc>
        <w:tc>
          <w:tcPr>
            <w:tcW w:w="3218" w:type="dxa"/>
            <w:vMerge w:val="continue"/>
            <w:noWrap w:val="0"/>
            <w:vAlign w:val="center"/>
          </w:tcPr>
          <w:p>
            <w:pPr>
              <w:tabs>
                <w:tab w:val="left" w:pos="2604"/>
              </w:tabs>
              <w:ind w:right="-4" w:rightChars="-2"/>
              <w:rPr>
                <w:rFonts w:hint="eastAsia" w:ascii="宋体" w:hAnsi="宋体" w:eastAsia="宋体" w:cs="宋体"/>
                <w:sz w:val="18"/>
                <w:szCs w:val="18"/>
              </w:rPr>
            </w:pPr>
          </w:p>
        </w:tc>
        <w:tc>
          <w:tcPr>
            <w:tcW w:w="732" w:type="dxa"/>
            <w:noWrap w:val="0"/>
            <w:vAlign w:val="center"/>
          </w:tcPr>
          <w:p>
            <w:pPr>
              <w:tabs>
                <w:tab w:val="left" w:pos="2604"/>
              </w:tabs>
              <w:ind w:right="-4" w:rightChars="-2"/>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12</w:t>
            </w:r>
          </w:p>
        </w:tc>
        <w:tc>
          <w:tcPr>
            <w:tcW w:w="1320" w:type="dxa"/>
            <w:noWrap w:val="0"/>
            <w:vAlign w:val="center"/>
          </w:tcPr>
          <w:p>
            <w:pPr>
              <w:tabs>
                <w:tab w:val="left" w:pos="2604"/>
              </w:tabs>
              <w:ind w:right="-4" w:rightChars="-2"/>
              <w:jc w:val="left"/>
              <w:rPr>
                <w:rFonts w:hint="default" w:ascii="宋体" w:hAnsi="宋体" w:cs="宋体"/>
                <w:sz w:val="21"/>
                <w:szCs w:val="21"/>
                <w:lang w:val="en-US" w:eastAsia="zh-CN"/>
              </w:rPr>
            </w:pPr>
            <w:r>
              <w:rPr>
                <w:rFonts w:hint="eastAsia" w:ascii="宋体" w:hAnsi="宋体" w:cs="宋体"/>
                <w:sz w:val="21"/>
                <w:szCs w:val="21"/>
                <w:lang w:val="en-US" w:eastAsia="zh-CN"/>
              </w:rPr>
              <w:t>册二（98-110</w:t>
            </w:r>
          </w:p>
          <w:p>
            <w:pPr>
              <w:tabs>
                <w:tab w:val="left" w:pos="2604"/>
              </w:tabs>
              <w:ind w:right="-4" w:rightChars="-2"/>
              <w:jc w:val="left"/>
              <w:rPr>
                <w:rFonts w:hint="eastAsia" w:ascii="宋体" w:hAnsi="宋体" w:cs="宋体"/>
                <w:sz w:val="21"/>
                <w:szCs w:val="21"/>
                <w:lang w:val="en-US" w:eastAsia="zh-CN"/>
              </w:rPr>
            </w:pPr>
            <w:r>
              <w:rPr>
                <w:rFonts w:hint="eastAsia" w:ascii="宋体" w:hAnsi="宋体" w:cs="宋体"/>
                <w:sz w:val="21"/>
                <w:szCs w:val="21"/>
                <w:lang w:val="en-US" w:eastAsia="zh-CN"/>
              </w:rPr>
              <w:t>148-152</w:t>
            </w:r>
          </w:p>
          <w:p>
            <w:pPr>
              <w:tabs>
                <w:tab w:val="left" w:pos="2604"/>
              </w:tabs>
              <w:ind w:right="-4" w:rightChars="-2"/>
              <w:jc w:val="left"/>
              <w:rPr>
                <w:rFonts w:hint="eastAsia" w:ascii="宋体" w:hAnsi="宋体" w:cs="宋体"/>
                <w:sz w:val="21"/>
                <w:szCs w:val="21"/>
                <w:lang w:val="en-US" w:eastAsia="zh-CN"/>
              </w:rPr>
            </w:pPr>
            <w:r>
              <w:rPr>
                <w:rFonts w:hint="eastAsia" w:ascii="宋体" w:hAnsi="宋体" w:cs="宋体"/>
                <w:sz w:val="21"/>
                <w:szCs w:val="21"/>
                <w:lang w:val="en-US" w:eastAsia="zh-CN"/>
              </w:rPr>
              <w:t>153-156</w:t>
            </w:r>
          </w:p>
          <w:p>
            <w:pPr>
              <w:tabs>
                <w:tab w:val="left" w:pos="2604"/>
              </w:tabs>
              <w:ind w:right="-4" w:rightChars="-2"/>
              <w:jc w:val="left"/>
              <w:rPr>
                <w:rFonts w:hint="eastAsia" w:ascii="宋体" w:hAnsi="宋体" w:cs="宋体"/>
                <w:sz w:val="21"/>
                <w:szCs w:val="21"/>
                <w:lang w:val="en-US" w:eastAsia="zh-CN"/>
              </w:rPr>
            </w:pPr>
            <w:r>
              <w:rPr>
                <w:rFonts w:hint="eastAsia" w:ascii="宋体" w:hAnsi="宋体" w:cs="宋体"/>
                <w:sz w:val="21"/>
                <w:szCs w:val="21"/>
                <w:lang w:val="en-US" w:eastAsia="zh-CN"/>
              </w:rPr>
              <w:t>157-160</w:t>
            </w:r>
          </w:p>
          <w:p>
            <w:pPr>
              <w:tabs>
                <w:tab w:val="left" w:pos="2604"/>
              </w:tabs>
              <w:ind w:right="-4" w:rightChars="-2"/>
              <w:jc w:val="left"/>
              <w:rPr>
                <w:rFonts w:hint="default" w:ascii="宋体" w:hAnsi="宋体" w:cs="宋体"/>
                <w:sz w:val="21"/>
                <w:szCs w:val="21"/>
                <w:lang w:val="en-US" w:eastAsia="zh-CN"/>
              </w:rPr>
            </w:pPr>
            <w:r>
              <w:rPr>
                <w:rFonts w:hint="eastAsia" w:ascii="宋体" w:hAnsi="宋体" w:cs="宋体"/>
                <w:sz w:val="21"/>
                <w:szCs w:val="21"/>
                <w:lang w:val="en-US" w:eastAsia="zh-CN"/>
              </w:rPr>
              <w:t>161-166</w:t>
            </w:r>
          </w:p>
          <w:p>
            <w:pPr>
              <w:tabs>
                <w:tab w:val="left" w:pos="2604"/>
              </w:tabs>
              <w:ind w:right="-4" w:rightChars="-2"/>
              <w:jc w:val="left"/>
              <w:rPr>
                <w:rFonts w:hint="default" w:ascii="宋体" w:hAnsi="宋体" w:eastAsia="宋体" w:cs="宋体"/>
                <w:sz w:val="21"/>
                <w:szCs w:val="21"/>
                <w:lang w:val="en-US" w:eastAsia="zh-CN"/>
              </w:rPr>
            </w:pPr>
            <w:r>
              <w:rPr>
                <w:rFonts w:hint="eastAsia" w:ascii="宋体" w:hAnsi="宋体" w:cs="宋体"/>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生态效益</w:t>
            </w:r>
          </w:p>
        </w:tc>
        <w:tc>
          <w:tcPr>
            <w:tcW w:w="945"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2196" w:type="dxa"/>
            <w:vMerge w:val="continue"/>
            <w:noWrap w:val="0"/>
            <w:vAlign w:val="center"/>
          </w:tcPr>
          <w:p>
            <w:pPr>
              <w:widowControl/>
              <w:spacing w:line="300" w:lineRule="exact"/>
              <w:jc w:val="left"/>
              <w:rPr>
                <w:rFonts w:hint="eastAsia" w:ascii="宋体" w:hAnsi="宋体" w:eastAsia="宋体" w:cs="宋体"/>
                <w:kern w:val="0"/>
                <w:sz w:val="18"/>
                <w:szCs w:val="18"/>
              </w:rPr>
            </w:pPr>
          </w:p>
        </w:tc>
        <w:tc>
          <w:tcPr>
            <w:tcW w:w="3218" w:type="dxa"/>
            <w:vMerge w:val="continue"/>
            <w:noWrap w:val="0"/>
            <w:vAlign w:val="center"/>
          </w:tcPr>
          <w:p>
            <w:pPr>
              <w:tabs>
                <w:tab w:val="left" w:pos="2604"/>
              </w:tabs>
              <w:ind w:right="-4" w:rightChars="-2"/>
              <w:rPr>
                <w:rFonts w:hint="eastAsia" w:ascii="宋体" w:hAnsi="宋体" w:eastAsia="宋体" w:cs="宋体"/>
                <w:sz w:val="18"/>
                <w:szCs w:val="18"/>
              </w:rPr>
            </w:pPr>
          </w:p>
        </w:tc>
        <w:tc>
          <w:tcPr>
            <w:tcW w:w="732" w:type="dxa"/>
            <w:noWrap w:val="0"/>
            <w:vAlign w:val="center"/>
          </w:tcPr>
          <w:p>
            <w:pPr>
              <w:tabs>
                <w:tab w:val="left" w:pos="2604"/>
              </w:tabs>
              <w:ind w:right="-4" w:rightChars="-2"/>
              <w:jc w:val="center"/>
              <w:rPr>
                <w:rFonts w:hint="eastAsia" w:ascii="宋体" w:hAnsi="宋体" w:eastAsia="宋体" w:cs="宋体"/>
                <w:sz w:val="21"/>
                <w:szCs w:val="21"/>
                <w:lang w:val="en-US" w:eastAsia="zh-CN"/>
              </w:rPr>
            </w:pPr>
          </w:p>
        </w:tc>
        <w:tc>
          <w:tcPr>
            <w:tcW w:w="1320" w:type="dxa"/>
            <w:noWrap w:val="0"/>
            <w:vAlign w:val="center"/>
          </w:tcPr>
          <w:p>
            <w:pPr>
              <w:tabs>
                <w:tab w:val="left" w:pos="2604"/>
              </w:tabs>
              <w:ind w:right="-4" w:rightChars="-2"/>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819"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可持续影响</w:t>
            </w:r>
          </w:p>
        </w:tc>
        <w:tc>
          <w:tcPr>
            <w:tcW w:w="945" w:type="dxa"/>
            <w:vMerge w:val="continue"/>
            <w:noWrap w:val="0"/>
            <w:vAlign w:val="center"/>
          </w:tcPr>
          <w:p>
            <w:pPr>
              <w:widowControl/>
              <w:spacing w:line="300" w:lineRule="exact"/>
              <w:jc w:val="center"/>
              <w:rPr>
                <w:rFonts w:hint="eastAsia" w:ascii="宋体" w:hAnsi="宋体" w:eastAsia="宋体" w:cs="宋体"/>
                <w:kern w:val="0"/>
                <w:sz w:val="21"/>
                <w:szCs w:val="21"/>
              </w:rPr>
            </w:pPr>
          </w:p>
        </w:tc>
        <w:tc>
          <w:tcPr>
            <w:tcW w:w="2196" w:type="dxa"/>
            <w:vMerge w:val="continue"/>
            <w:noWrap w:val="0"/>
            <w:vAlign w:val="center"/>
          </w:tcPr>
          <w:p>
            <w:pPr>
              <w:widowControl/>
              <w:spacing w:line="300" w:lineRule="exact"/>
              <w:jc w:val="left"/>
              <w:rPr>
                <w:rFonts w:hint="eastAsia" w:ascii="宋体" w:hAnsi="宋体" w:eastAsia="宋体" w:cs="宋体"/>
                <w:kern w:val="0"/>
                <w:sz w:val="18"/>
                <w:szCs w:val="18"/>
              </w:rPr>
            </w:pPr>
          </w:p>
        </w:tc>
        <w:tc>
          <w:tcPr>
            <w:tcW w:w="3218" w:type="dxa"/>
            <w:vMerge w:val="continue"/>
            <w:noWrap w:val="0"/>
            <w:vAlign w:val="center"/>
          </w:tcPr>
          <w:p>
            <w:pPr>
              <w:widowControl/>
              <w:spacing w:line="300" w:lineRule="exact"/>
              <w:jc w:val="left"/>
              <w:rPr>
                <w:rFonts w:hint="eastAsia" w:ascii="宋体" w:hAnsi="宋体" w:eastAsia="宋体" w:cs="宋体"/>
                <w:sz w:val="18"/>
                <w:szCs w:val="18"/>
              </w:rPr>
            </w:pPr>
          </w:p>
        </w:tc>
        <w:tc>
          <w:tcPr>
            <w:tcW w:w="732" w:type="dxa"/>
            <w:noWrap w:val="0"/>
            <w:vAlign w:val="center"/>
          </w:tcPr>
          <w:p>
            <w:pPr>
              <w:widowControl/>
              <w:spacing w:line="300" w:lineRule="exact"/>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1320" w:type="dxa"/>
            <w:noWrap w:val="0"/>
            <w:vAlign w:val="center"/>
          </w:tcPr>
          <w:p>
            <w:pPr>
              <w:widowControl/>
              <w:spacing w:line="300" w:lineRule="exact"/>
              <w:jc w:val="left"/>
              <w:rPr>
                <w:rFonts w:hint="eastAsia" w:ascii="宋体" w:hAnsi="宋体" w:cs="宋体"/>
                <w:sz w:val="21"/>
                <w:szCs w:val="21"/>
                <w:lang w:val="en-US" w:eastAsia="zh-CN"/>
              </w:rPr>
            </w:pPr>
            <w:r>
              <w:rPr>
                <w:rFonts w:hint="eastAsia" w:ascii="宋体" w:hAnsi="宋体" w:cs="宋体"/>
                <w:sz w:val="21"/>
                <w:szCs w:val="21"/>
                <w:lang w:val="en-US" w:eastAsia="zh-CN"/>
              </w:rPr>
              <w:t>册二(167-188</w:t>
            </w:r>
          </w:p>
          <w:p>
            <w:pPr>
              <w:widowControl/>
              <w:spacing w:line="300" w:lineRule="exact"/>
              <w:jc w:val="left"/>
              <w:rPr>
                <w:rFonts w:hint="eastAsia" w:ascii="宋体" w:hAnsi="宋体" w:cs="宋体"/>
                <w:sz w:val="21"/>
                <w:szCs w:val="21"/>
                <w:lang w:val="en-US" w:eastAsia="zh-CN"/>
              </w:rPr>
            </w:pPr>
            <w:r>
              <w:rPr>
                <w:rFonts w:hint="eastAsia" w:ascii="宋体" w:hAnsi="宋体" w:cs="宋体"/>
                <w:sz w:val="21"/>
                <w:szCs w:val="21"/>
                <w:lang w:val="en-US" w:eastAsia="zh-CN"/>
              </w:rPr>
              <w:t>189-278</w:t>
            </w:r>
          </w:p>
          <w:p>
            <w:pPr>
              <w:widowControl/>
              <w:spacing w:line="300" w:lineRule="exact"/>
              <w:jc w:val="left"/>
              <w:rPr>
                <w:rFonts w:hint="default" w:ascii="宋体" w:hAnsi="宋体" w:eastAsia="宋体" w:cs="宋体"/>
                <w:sz w:val="21"/>
                <w:szCs w:val="21"/>
                <w:lang w:val="en-US"/>
              </w:rPr>
            </w:pPr>
            <w:r>
              <w:rPr>
                <w:rFonts w:hint="eastAsia" w:ascii="宋体" w:hAnsi="宋体" w:cs="宋体"/>
                <w:sz w:val="21"/>
                <w:szCs w:val="21"/>
                <w:lang w:val="en-US" w:eastAsia="zh-CN"/>
              </w:rPr>
              <w:t>279-280)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584" w:type="dxa"/>
            <w:vMerge w:val="continue"/>
            <w:noWrap w:val="0"/>
            <w:textDirection w:val="tbRlV"/>
            <w:vAlign w:val="center"/>
          </w:tcPr>
          <w:p>
            <w:pPr>
              <w:widowControl/>
              <w:spacing w:line="300" w:lineRule="exact"/>
              <w:jc w:val="center"/>
              <w:rPr>
                <w:rFonts w:hint="eastAsia" w:ascii="仿宋" w:hAnsi="仿宋"/>
                <w:kern w:val="0"/>
                <w:sz w:val="24"/>
              </w:rPr>
            </w:pPr>
          </w:p>
        </w:tc>
        <w:tc>
          <w:tcPr>
            <w:tcW w:w="518"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履职满意度</w:t>
            </w:r>
          </w:p>
        </w:tc>
        <w:tc>
          <w:tcPr>
            <w:tcW w:w="819"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490" w:type="dxa"/>
            <w:noWrap w:val="0"/>
            <w:vAlign w:val="center"/>
          </w:tcPr>
          <w:p>
            <w:pPr>
              <w:widowControl/>
              <w:spacing w:line="30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满意度</w:t>
            </w:r>
          </w:p>
        </w:tc>
        <w:tc>
          <w:tcPr>
            <w:tcW w:w="945" w:type="dxa"/>
            <w:noWrap w:val="0"/>
            <w:vAlign w:val="center"/>
          </w:tcPr>
          <w:p>
            <w:pPr>
              <w:widowControl/>
              <w:spacing w:line="30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5</w:t>
            </w:r>
          </w:p>
        </w:tc>
        <w:tc>
          <w:tcPr>
            <w:tcW w:w="2196" w:type="dxa"/>
            <w:noWrap w:val="0"/>
            <w:vAlign w:val="center"/>
          </w:tcPr>
          <w:p>
            <w:pPr>
              <w:widowControl/>
              <w:spacing w:line="300" w:lineRule="exact"/>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达到相关政策、文件和规划要求的社会公众或部门的服务对象对部门履职效果的满意程度计</w:t>
            </w:r>
            <w:r>
              <w:rPr>
                <w:rFonts w:hint="eastAsia" w:ascii="宋体" w:hAnsi="宋体" w:eastAsia="宋体" w:cs="宋体"/>
                <w:color w:val="auto"/>
                <w:kern w:val="0"/>
                <w:sz w:val="18"/>
                <w:szCs w:val="18"/>
                <w:lang w:val="en-US" w:eastAsia="zh-CN"/>
              </w:rPr>
              <w:t>5</w:t>
            </w:r>
            <w:r>
              <w:rPr>
                <w:rFonts w:hint="eastAsia" w:ascii="宋体" w:hAnsi="宋体" w:eastAsia="宋体" w:cs="宋体"/>
                <w:color w:val="auto"/>
                <w:kern w:val="0"/>
                <w:sz w:val="18"/>
                <w:szCs w:val="18"/>
              </w:rPr>
              <w:t>分，每下降一个百分点扣一分，扣完为止。</w:t>
            </w:r>
          </w:p>
        </w:tc>
        <w:tc>
          <w:tcPr>
            <w:tcW w:w="3218" w:type="dxa"/>
            <w:noWrap w:val="0"/>
            <w:vAlign w:val="center"/>
          </w:tcPr>
          <w:p>
            <w:pPr>
              <w:widowControl/>
              <w:spacing w:line="300" w:lineRule="exact"/>
              <w:jc w:val="left"/>
              <w:rPr>
                <w:rFonts w:hint="eastAsia" w:ascii="宋体" w:hAnsi="宋体" w:eastAsia="宋体" w:cs="宋体"/>
                <w:color w:val="auto"/>
                <w:kern w:val="0"/>
                <w:sz w:val="18"/>
                <w:szCs w:val="18"/>
              </w:rPr>
            </w:pPr>
            <w:r>
              <w:rPr>
                <w:rFonts w:hint="eastAsia" w:ascii="宋体" w:hAnsi="宋体" w:eastAsia="宋体" w:cs="宋体"/>
                <w:color w:val="auto"/>
                <w:kern w:val="0"/>
                <w:sz w:val="18"/>
                <w:szCs w:val="18"/>
              </w:rPr>
              <w:t>社会公众或服务对象是指部门履行职责而影响到的部门、群体或个人。一般采取社会调查的方式。</w:t>
            </w:r>
          </w:p>
        </w:tc>
        <w:tc>
          <w:tcPr>
            <w:tcW w:w="732" w:type="dxa"/>
            <w:noWrap w:val="0"/>
            <w:vAlign w:val="center"/>
          </w:tcPr>
          <w:p>
            <w:pPr>
              <w:widowControl/>
              <w:spacing w:line="300" w:lineRule="exact"/>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w:t>
            </w:r>
          </w:p>
        </w:tc>
        <w:tc>
          <w:tcPr>
            <w:tcW w:w="1320" w:type="dxa"/>
            <w:noWrap w:val="0"/>
            <w:vAlign w:val="center"/>
          </w:tcPr>
          <w:p>
            <w:pPr>
              <w:widowControl/>
              <w:spacing w:line="300" w:lineRule="exact"/>
              <w:jc w:val="left"/>
              <w:rPr>
                <w:rFonts w:hint="default" w:ascii="宋体" w:hAnsi="宋体" w:eastAsia="宋体" w:cs="宋体"/>
                <w:color w:val="FF0000"/>
                <w:kern w:val="0"/>
                <w:sz w:val="21"/>
                <w:szCs w:val="21"/>
                <w:lang w:val="en-US" w:eastAsia="zh-CN"/>
              </w:rPr>
            </w:pPr>
            <w:r>
              <w:rPr>
                <w:rFonts w:hint="eastAsia" w:ascii="宋体" w:hAnsi="宋体" w:cs="宋体"/>
                <w:color w:val="auto"/>
                <w:kern w:val="0"/>
                <w:sz w:val="21"/>
                <w:szCs w:val="21"/>
                <w:lang w:val="en-US" w:eastAsia="zh-CN"/>
              </w:rPr>
              <w:t>126-141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584" w:type="dxa"/>
            <w:noWrap w:val="0"/>
            <w:textDirection w:val="tbRlV"/>
            <w:vAlign w:val="center"/>
          </w:tcPr>
          <w:p>
            <w:pPr>
              <w:widowControl/>
              <w:spacing w:line="300" w:lineRule="exact"/>
              <w:jc w:val="center"/>
              <w:rPr>
                <w:rFonts w:hint="eastAsia" w:ascii="仿宋" w:hAnsi="仿宋"/>
                <w:b/>
                <w:bCs/>
                <w:kern w:val="0"/>
                <w:sz w:val="24"/>
              </w:rPr>
            </w:pPr>
            <w:r>
              <w:rPr>
                <w:rFonts w:hint="eastAsia" w:ascii="仿宋" w:hAnsi="仿宋"/>
                <w:b/>
                <w:bCs/>
                <w:kern w:val="0"/>
                <w:sz w:val="24"/>
              </w:rPr>
              <w:t>总分</w:t>
            </w:r>
          </w:p>
        </w:tc>
        <w:tc>
          <w:tcPr>
            <w:tcW w:w="518" w:type="dxa"/>
            <w:noWrap w:val="0"/>
            <w:vAlign w:val="center"/>
          </w:tcPr>
          <w:p>
            <w:pPr>
              <w:widowControl/>
              <w:spacing w:line="300" w:lineRule="exact"/>
              <w:jc w:val="center"/>
              <w:rPr>
                <w:rFonts w:hint="eastAsia" w:ascii="宋体" w:hAnsi="宋体" w:eastAsia="宋体" w:cs="宋体"/>
                <w:b/>
                <w:bCs/>
                <w:kern w:val="0"/>
                <w:sz w:val="21"/>
                <w:szCs w:val="21"/>
              </w:rPr>
            </w:pPr>
          </w:p>
        </w:tc>
        <w:tc>
          <w:tcPr>
            <w:tcW w:w="819" w:type="dxa"/>
            <w:noWrap w:val="0"/>
            <w:vAlign w:val="center"/>
          </w:tcPr>
          <w:p>
            <w:pPr>
              <w:widowControl/>
              <w:spacing w:line="30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100</w:t>
            </w:r>
          </w:p>
        </w:tc>
        <w:tc>
          <w:tcPr>
            <w:tcW w:w="490" w:type="dxa"/>
            <w:noWrap w:val="0"/>
            <w:vAlign w:val="center"/>
          </w:tcPr>
          <w:p>
            <w:pPr>
              <w:widowControl/>
              <w:spacing w:line="300" w:lineRule="exact"/>
              <w:jc w:val="center"/>
              <w:rPr>
                <w:rFonts w:hint="eastAsia" w:ascii="宋体" w:hAnsi="宋体" w:eastAsia="宋体" w:cs="宋体"/>
                <w:b/>
                <w:bCs/>
                <w:kern w:val="0"/>
                <w:sz w:val="21"/>
                <w:szCs w:val="21"/>
              </w:rPr>
            </w:pPr>
          </w:p>
        </w:tc>
        <w:tc>
          <w:tcPr>
            <w:tcW w:w="945" w:type="dxa"/>
            <w:noWrap w:val="0"/>
            <w:vAlign w:val="center"/>
          </w:tcPr>
          <w:p>
            <w:pPr>
              <w:widowControl/>
              <w:spacing w:line="300" w:lineRule="exact"/>
              <w:jc w:val="center"/>
              <w:rPr>
                <w:rFonts w:hint="eastAsia" w:ascii="宋体" w:hAnsi="宋体" w:eastAsia="宋体" w:cs="宋体"/>
                <w:b/>
                <w:bCs/>
                <w:kern w:val="0"/>
                <w:sz w:val="21"/>
                <w:szCs w:val="21"/>
              </w:rPr>
            </w:pPr>
            <w:r>
              <w:rPr>
                <w:rFonts w:hint="eastAsia" w:ascii="宋体" w:hAnsi="宋体" w:eastAsia="宋体" w:cs="宋体"/>
                <w:b/>
                <w:bCs/>
                <w:kern w:val="0"/>
                <w:sz w:val="21"/>
                <w:szCs w:val="21"/>
              </w:rPr>
              <w:t>100</w:t>
            </w:r>
          </w:p>
        </w:tc>
        <w:tc>
          <w:tcPr>
            <w:tcW w:w="2196" w:type="dxa"/>
            <w:noWrap w:val="0"/>
            <w:vAlign w:val="center"/>
          </w:tcPr>
          <w:p>
            <w:pPr>
              <w:widowControl/>
              <w:spacing w:line="300" w:lineRule="exact"/>
              <w:jc w:val="left"/>
              <w:rPr>
                <w:rFonts w:hint="eastAsia" w:ascii="宋体" w:hAnsi="宋体" w:eastAsia="宋体" w:cs="宋体"/>
                <w:b/>
                <w:bCs/>
                <w:kern w:val="0"/>
                <w:sz w:val="18"/>
                <w:szCs w:val="18"/>
              </w:rPr>
            </w:pPr>
          </w:p>
        </w:tc>
        <w:tc>
          <w:tcPr>
            <w:tcW w:w="3218" w:type="dxa"/>
            <w:noWrap w:val="0"/>
            <w:vAlign w:val="center"/>
          </w:tcPr>
          <w:p>
            <w:pPr>
              <w:widowControl/>
              <w:spacing w:line="300" w:lineRule="exact"/>
              <w:jc w:val="left"/>
              <w:rPr>
                <w:rFonts w:hint="eastAsia" w:ascii="宋体" w:hAnsi="宋体" w:eastAsia="宋体" w:cs="宋体"/>
                <w:b/>
                <w:bCs/>
                <w:kern w:val="0"/>
                <w:sz w:val="21"/>
                <w:szCs w:val="21"/>
              </w:rPr>
            </w:pPr>
          </w:p>
        </w:tc>
        <w:tc>
          <w:tcPr>
            <w:tcW w:w="732" w:type="dxa"/>
            <w:noWrap w:val="0"/>
            <w:vAlign w:val="center"/>
          </w:tcPr>
          <w:p>
            <w:pPr>
              <w:widowControl/>
              <w:spacing w:line="300" w:lineRule="exact"/>
              <w:jc w:val="center"/>
              <w:rPr>
                <w:rFonts w:hint="default" w:ascii="宋体" w:hAnsi="宋体" w:eastAsia="宋体" w:cs="宋体"/>
                <w:b/>
                <w:bCs/>
                <w:kern w:val="0"/>
                <w:sz w:val="21"/>
                <w:szCs w:val="21"/>
                <w:lang w:val="en-US" w:eastAsia="zh-CN"/>
              </w:rPr>
            </w:pPr>
            <w:r>
              <w:rPr>
                <w:rFonts w:hint="eastAsia" w:ascii="宋体" w:hAnsi="宋体" w:cs="宋体"/>
                <w:b/>
                <w:bCs/>
                <w:color w:val="auto"/>
                <w:kern w:val="0"/>
                <w:sz w:val="21"/>
                <w:szCs w:val="21"/>
                <w:lang w:val="en-US" w:eastAsia="zh-CN"/>
              </w:rPr>
              <w:t>95</w:t>
            </w:r>
          </w:p>
        </w:tc>
        <w:tc>
          <w:tcPr>
            <w:tcW w:w="1320" w:type="dxa"/>
            <w:noWrap w:val="0"/>
            <w:vAlign w:val="center"/>
          </w:tcPr>
          <w:p>
            <w:pPr>
              <w:widowControl/>
              <w:spacing w:line="300" w:lineRule="exact"/>
              <w:jc w:val="left"/>
              <w:rPr>
                <w:rFonts w:hint="eastAsia" w:ascii="宋体" w:hAnsi="宋体" w:eastAsia="宋体" w:cs="宋体"/>
                <w:b/>
                <w:bCs/>
                <w:kern w:val="0"/>
                <w:sz w:val="21"/>
                <w:szCs w:val="21"/>
              </w:rPr>
            </w:pPr>
          </w:p>
        </w:tc>
      </w:tr>
    </w:tbl>
    <w:p>
      <w:pPr>
        <w:pStyle w:val="2"/>
        <w:ind w:left="0" w:leftChars="0" w:firstLine="0" w:firstLineChars="0"/>
        <w:rPr>
          <w:rFonts w:hint="eastAsia"/>
          <w:lang w:val="en-US" w:eastAsia="zh-CN"/>
        </w:rPr>
      </w:pPr>
    </w:p>
    <w:p>
      <w:pPr>
        <w:pStyle w:val="2"/>
        <w:ind w:left="0" w:leftChars="0" w:firstLine="0" w:firstLineChars="0"/>
        <w:rPr>
          <w:rFonts w:hint="eastAsia" w:ascii="宋体" w:hAnsi="宋体" w:eastAsia="宋体" w:cs="宋体"/>
          <w:sz w:val="32"/>
          <w:szCs w:val="32"/>
        </w:rPr>
      </w:pPr>
    </w:p>
    <w:p>
      <w:pPr>
        <w:rPr>
          <w:rFonts w:hint="eastAsia" w:ascii="宋体" w:hAnsi="宋体" w:eastAsia="宋体" w:cs="宋体"/>
          <w:sz w:val="32"/>
          <w:szCs w:val="32"/>
        </w:rPr>
      </w:pPr>
    </w:p>
    <w:p>
      <w:pPr>
        <w:pStyle w:val="2"/>
        <w:ind w:left="0" w:leftChars="0" w:firstLine="0" w:firstLineChars="0"/>
        <w:jc w:val="center"/>
        <w:rPr>
          <w:rFonts w:hint="eastAsia" w:ascii="宋体" w:hAnsi="宋体" w:eastAsia="宋体" w:cs="宋体"/>
          <w:sz w:val="32"/>
          <w:szCs w:val="32"/>
          <w:lang w:eastAsia="zh-CN"/>
        </w:rPr>
      </w:pPr>
      <w:r>
        <w:rPr>
          <w:rFonts w:hint="eastAsia" w:ascii="宋体" w:hAnsi="宋体" w:eastAsia="宋体" w:cs="宋体"/>
          <w:sz w:val="32"/>
          <w:szCs w:val="32"/>
          <w:lang w:val="en-US" w:eastAsia="zh-CN"/>
        </w:rPr>
        <w:t xml:space="preserve">                                   </w:t>
      </w:r>
      <w:r>
        <w:rPr>
          <w:rFonts w:hint="eastAsia" w:ascii="宋体" w:hAnsi="宋体" w:eastAsia="宋体" w:cs="宋体"/>
          <w:sz w:val="32"/>
          <w:szCs w:val="32"/>
          <w:lang w:eastAsia="zh-CN"/>
        </w:rPr>
        <w:t>湘乡市住房和城乡建设局</w:t>
      </w:r>
    </w:p>
    <w:p>
      <w:pPr>
        <w:jc w:val="center"/>
        <w:rPr>
          <w:rFonts w:hint="default"/>
          <w:lang w:val="en-US" w:eastAsia="zh-CN"/>
        </w:rPr>
      </w:pPr>
      <w:r>
        <w:rPr>
          <w:rFonts w:hint="eastAsia" w:ascii="宋体" w:hAnsi="宋体" w:eastAsia="宋体" w:cs="宋体"/>
          <w:sz w:val="32"/>
          <w:szCs w:val="32"/>
          <w:lang w:val="en-US" w:eastAsia="zh-CN"/>
        </w:rPr>
        <w:t xml:space="preserve">                                      2021年8月10日</w:t>
      </w: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3000509000000000000"/>
    <w:charset w:val="86"/>
    <w:family w:val="script"/>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3E4859"/>
    <w:multiLevelType w:val="singleLevel"/>
    <w:tmpl w:val="C73E4859"/>
    <w:lvl w:ilvl="0" w:tentative="0">
      <w:start w:val="2"/>
      <w:numFmt w:val="decimal"/>
      <w:suff w:val="nothing"/>
      <w:lvlText w:val="%1、"/>
      <w:lvlJc w:val="left"/>
    </w:lvl>
  </w:abstractNum>
  <w:abstractNum w:abstractNumId="1">
    <w:nsid w:val="C74D7E52"/>
    <w:multiLevelType w:val="singleLevel"/>
    <w:tmpl w:val="C74D7E52"/>
    <w:lvl w:ilvl="0" w:tentative="0">
      <w:start w:val="6"/>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ZTI1OTQxNDA3MzIzMDUxNzljZWY4OTVjM2ZiZTUifQ=="/>
  </w:docVars>
  <w:rsids>
    <w:rsidRoot w:val="00172A27"/>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3317245"/>
    <w:rsid w:val="0697361C"/>
    <w:rsid w:val="0A967B9A"/>
    <w:rsid w:val="1CB96332"/>
    <w:rsid w:val="2B2F1FE3"/>
    <w:rsid w:val="30124FFE"/>
    <w:rsid w:val="34093FAD"/>
    <w:rsid w:val="34E42455"/>
    <w:rsid w:val="36ED5CCE"/>
    <w:rsid w:val="38284E91"/>
    <w:rsid w:val="40E330EA"/>
    <w:rsid w:val="43FB64D9"/>
    <w:rsid w:val="4C2B2644"/>
    <w:rsid w:val="4E486E34"/>
    <w:rsid w:val="50363B95"/>
    <w:rsid w:val="532F35DF"/>
    <w:rsid w:val="5351508B"/>
    <w:rsid w:val="57171C1B"/>
    <w:rsid w:val="5B1E0C9E"/>
    <w:rsid w:val="62575AB9"/>
    <w:rsid w:val="68536C23"/>
    <w:rsid w:val="6A0F3EAE"/>
    <w:rsid w:val="6BEC37F9"/>
    <w:rsid w:val="74927C24"/>
    <w:rsid w:val="764C4CDD"/>
    <w:rsid w:val="77195E6E"/>
    <w:rsid w:val="79FC539E"/>
    <w:rsid w:val="7A333243"/>
    <w:rsid w:val="7B3777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4"/>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 w:type="paragraph" w:styleId="3">
    <w:name w:val="Normal Indent"/>
    <w:basedOn w:val="1"/>
    <w:qFormat/>
    <w:uiPriority w:val="0"/>
    <w:pPr>
      <w:ind w:firstLine="200" w:firstLineChars="200"/>
    </w:pPr>
    <w:rPr>
      <w:rFonts w:ascii="Times New Roman" w:hAnsi="Times New Roman" w:eastAsia="宋体" w:cs="Times New Roman"/>
    </w:rPr>
  </w:style>
  <w:style w:type="paragraph" w:styleId="4">
    <w:name w:val="Balloon Text"/>
    <w:basedOn w:val="1"/>
    <w:link w:val="13"/>
    <w:semiHidden/>
    <w:unhideWhenUsed/>
    <w:qFormat/>
    <w:uiPriority w:val="99"/>
    <w:rPr>
      <w:sz w:val="18"/>
      <w:szCs w:val="18"/>
    </w:rPr>
  </w:style>
  <w:style w:type="paragraph" w:styleId="5">
    <w:name w:val="footer"/>
    <w:basedOn w:val="1"/>
    <w:link w:val="10"/>
    <w:unhideWhenUsed/>
    <w:qFormat/>
    <w:uiPriority w:val="99"/>
    <w:pPr>
      <w:tabs>
        <w:tab w:val="center" w:pos="4153"/>
        <w:tab w:val="right" w:pos="8306"/>
      </w:tabs>
      <w:snapToGrid w:val="0"/>
      <w:jc w:val="left"/>
    </w:pPr>
    <w:rPr>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qFormat/>
    <w:uiPriority w:val="99"/>
    <w:rPr>
      <w:sz w:val="18"/>
      <w:szCs w:val="18"/>
    </w:rPr>
  </w:style>
  <w:style w:type="paragraph" w:customStyle="1" w:styleId="11">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2">
    <w:name w:val="List Paragraph"/>
    <w:basedOn w:val="1"/>
    <w:qFormat/>
    <w:uiPriority w:val="34"/>
    <w:pPr>
      <w:ind w:firstLine="420" w:firstLineChars="200"/>
    </w:pPr>
  </w:style>
  <w:style w:type="character" w:customStyle="1" w:styleId="13">
    <w:name w:val="批注框文本 Char"/>
    <w:basedOn w:val="8"/>
    <w:link w:val="4"/>
    <w:semiHidden/>
    <w:qFormat/>
    <w:uiPriority w:val="99"/>
    <w:rPr>
      <w:sz w:val="18"/>
      <w:szCs w:val="18"/>
    </w:rPr>
  </w:style>
  <w:style w:type="character" w:customStyle="1" w:styleId="14">
    <w:name w:val="NormalCharacter"/>
    <w:link w:val="1"/>
    <w:semiHidden/>
    <w:qFormat/>
    <w:uiPriority w:val="0"/>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50</Pages>
  <Words>18866</Words>
  <Characters>22685</Characters>
  <Lines>62</Lines>
  <Paragraphs>17</Paragraphs>
  <TotalTime>26</TotalTime>
  <ScaleCrop>false</ScaleCrop>
  <LinksUpToDate>false</LinksUpToDate>
  <CharactersWithSpaces>24252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WPS_1687165778</cp:lastModifiedBy>
  <cp:lastPrinted>2021-08-11T07:30:00Z</cp:lastPrinted>
  <dcterms:modified xsi:type="dcterms:W3CDTF">2024-11-14T02:41:20Z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DB268D6A0D6B495C89FF44F05A3BA8E9</vt:lpwstr>
  </property>
</Properties>
</file>