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sz w:val="56"/>
          <w:szCs w:val="56"/>
        </w:rPr>
      </w:pPr>
    </w:p>
    <w:p>
      <w:pPr>
        <w:pStyle w:val="9"/>
        <w:jc w:val="center"/>
        <w:rPr>
          <w:sz w:val="56"/>
          <w:szCs w:val="56"/>
        </w:rPr>
      </w:pPr>
    </w:p>
    <w:p>
      <w:pPr>
        <w:pStyle w:val="9"/>
        <w:jc w:val="both"/>
        <w:rPr>
          <w:sz w:val="84"/>
          <w:szCs w:val="84"/>
        </w:rPr>
      </w:pPr>
    </w:p>
    <w:p>
      <w:pPr>
        <w:pStyle w:val="9"/>
        <w:jc w:val="center"/>
        <w:rPr>
          <w:sz w:val="84"/>
          <w:szCs w:val="84"/>
        </w:rPr>
      </w:pPr>
      <w:r>
        <w:rPr>
          <w:rFonts w:hint="eastAsia"/>
          <w:sz w:val="84"/>
          <w:szCs w:val="84"/>
        </w:rPr>
        <w:t>2021年度</w:t>
      </w:r>
    </w:p>
    <w:p>
      <w:pPr>
        <w:pStyle w:val="9"/>
        <w:jc w:val="center"/>
        <w:rPr>
          <w:sz w:val="84"/>
          <w:szCs w:val="84"/>
        </w:rPr>
      </w:pPr>
      <w:r>
        <w:rPr>
          <w:rFonts w:hint="eastAsia"/>
          <w:sz w:val="84"/>
          <w:szCs w:val="84"/>
          <w:lang w:eastAsia="zh-CN"/>
        </w:rPr>
        <w:t>湘乡市卫生计生综合</w:t>
      </w:r>
      <w:r>
        <w:rPr>
          <w:rFonts w:hint="eastAsia"/>
          <w:sz w:val="84"/>
          <w:szCs w:val="84"/>
          <w:lang w:val="en-US" w:eastAsia="zh-CN"/>
        </w:rPr>
        <w:t xml:space="preserve">     </w:t>
      </w:r>
      <w:r>
        <w:rPr>
          <w:rFonts w:hint="eastAsia"/>
          <w:sz w:val="84"/>
          <w:szCs w:val="84"/>
          <w:lang w:eastAsia="zh-CN"/>
        </w:rPr>
        <w:t>监督执法局</w:t>
      </w:r>
      <w:r>
        <w:rPr>
          <w:rFonts w:hint="eastAsia"/>
          <w:sz w:val="84"/>
          <w:szCs w:val="84"/>
        </w:rPr>
        <w:t>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spacing w:line="540" w:lineRule="exact"/>
        <w:jc w:val="center"/>
        <w:rPr>
          <w:sz w:val="56"/>
          <w:szCs w:val="56"/>
        </w:rPr>
      </w:pPr>
    </w:p>
    <w:p>
      <w:pPr>
        <w:pStyle w:val="9"/>
        <w:spacing w:line="500" w:lineRule="exact"/>
        <w:jc w:val="center"/>
        <w:rPr>
          <w:b/>
          <w:sz w:val="36"/>
          <w:szCs w:val="28"/>
        </w:rPr>
      </w:pPr>
    </w:p>
    <w:p>
      <w:pPr>
        <w:pStyle w:val="9"/>
        <w:spacing w:line="500" w:lineRule="exact"/>
        <w:jc w:val="center"/>
        <w:rPr>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ascii="仿宋_GB2312" w:hAnsi="仿宋_GB2312" w:cs="仿宋_GB2312"/>
          <w:b/>
          <w:sz w:val="28"/>
          <w:szCs w:val="28"/>
        </w:rPr>
      </w:pPr>
      <w:r>
        <w:rPr>
          <w:rFonts w:hint="eastAsia"/>
          <w:b/>
          <w:sz w:val="28"/>
          <w:szCs w:val="28"/>
        </w:rPr>
        <w:t>第一部分单位概况</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spacing w:line="56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我局是</w:t>
      </w:r>
      <w:r>
        <w:rPr>
          <w:rFonts w:hint="eastAsia" w:asciiTheme="minorEastAsia" w:hAnsiTheme="minorEastAsia"/>
          <w:bCs/>
          <w:kern w:val="0"/>
          <w:sz w:val="32"/>
          <w:szCs w:val="32"/>
          <w:lang w:val="en-US" w:eastAsia="zh-CN"/>
        </w:rPr>
        <w:t>湘乡市卫生健康局</w:t>
      </w:r>
      <w:r>
        <w:rPr>
          <w:rFonts w:hint="eastAsia" w:asciiTheme="minorEastAsia" w:hAnsiTheme="minorEastAsia"/>
          <w:bCs/>
          <w:kern w:val="0"/>
          <w:sz w:val="32"/>
          <w:szCs w:val="32"/>
        </w:rPr>
        <w:t>的执法机构，承担全市卫生</w:t>
      </w:r>
      <w:r>
        <w:rPr>
          <w:rFonts w:hint="eastAsia" w:asciiTheme="minorEastAsia" w:hAnsiTheme="minorEastAsia"/>
          <w:bCs/>
          <w:kern w:val="0"/>
          <w:sz w:val="32"/>
          <w:szCs w:val="32"/>
          <w:lang w:val="en-US" w:eastAsia="zh-CN"/>
        </w:rPr>
        <w:t>健康</w:t>
      </w:r>
      <w:r>
        <w:rPr>
          <w:rFonts w:hint="eastAsia" w:asciiTheme="minorEastAsia" w:hAnsiTheme="minorEastAsia"/>
          <w:bCs/>
          <w:kern w:val="0"/>
          <w:sz w:val="32"/>
          <w:szCs w:val="32"/>
        </w:rPr>
        <w:t>综合执法工作。主要职责包括：</w:t>
      </w:r>
    </w:p>
    <w:p>
      <w:pPr>
        <w:spacing w:line="560" w:lineRule="exact"/>
        <w:ind w:firstLine="640" w:firstLineChars="200"/>
        <w:rPr>
          <w:rFonts w:hint="eastAsia" w:asciiTheme="minorEastAsia" w:hAnsiTheme="minorEastAsia" w:eastAsiaTheme="minorEastAsia"/>
          <w:sz w:val="32"/>
          <w:szCs w:val="32"/>
          <w:lang w:eastAsia="zh-CN"/>
        </w:rPr>
      </w:pPr>
      <w:r>
        <w:rPr>
          <w:rFonts w:hint="eastAsia" w:asciiTheme="minorEastAsia" w:hAnsiTheme="minorEastAsia"/>
          <w:sz w:val="32"/>
          <w:szCs w:val="32"/>
        </w:rPr>
        <w:t>（一）</w:t>
      </w:r>
      <w:r>
        <w:rPr>
          <w:rFonts w:hint="eastAsia" w:asciiTheme="minorEastAsia" w:hAnsiTheme="minorEastAsia"/>
          <w:sz w:val="32"/>
          <w:szCs w:val="32"/>
          <w:lang w:eastAsia="zh-CN"/>
        </w:rPr>
        <w:t>贯彻执行</w:t>
      </w:r>
      <w:r>
        <w:rPr>
          <w:rFonts w:hint="eastAsia" w:asciiTheme="minorEastAsia" w:hAnsiTheme="minorEastAsia"/>
          <w:bCs/>
          <w:kern w:val="0"/>
          <w:sz w:val="32"/>
          <w:szCs w:val="32"/>
        </w:rPr>
        <w:t>卫生健康法律、法规、规章，负责监督卫生健康法律法规的落实情况，依法查处违法行为。</w:t>
      </w:r>
    </w:p>
    <w:p>
      <w:pPr>
        <w:spacing w:line="560" w:lineRule="exact"/>
        <w:ind w:firstLine="640" w:firstLineChars="200"/>
        <w:rPr>
          <w:rFonts w:hint="eastAsia" w:asciiTheme="minorEastAsia" w:hAnsiTheme="minorEastAsia"/>
          <w:bCs/>
          <w:kern w:val="0"/>
          <w:sz w:val="32"/>
          <w:szCs w:val="32"/>
        </w:rPr>
      </w:pPr>
      <w:r>
        <w:rPr>
          <w:rFonts w:hint="eastAsia" w:asciiTheme="minorEastAsia" w:hAnsiTheme="minorEastAsia"/>
          <w:sz w:val="32"/>
          <w:szCs w:val="32"/>
        </w:rPr>
        <w:t>（二）</w:t>
      </w:r>
      <w:r>
        <w:rPr>
          <w:rFonts w:hint="eastAsia" w:asciiTheme="minorEastAsia" w:hAnsiTheme="minorEastAsia"/>
          <w:bCs/>
          <w:kern w:val="0"/>
          <w:sz w:val="32"/>
          <w:szCs w:val="32"/>
        </w:rPr>
        <w:t>负责公共场所卫生、生活饮用水卫生、学校卫生及消毒产品和涉及饮用水安全产品的监督检查。</w:t>
      </w:r>
    </w:p>
    <w:p>
      <w:pPr>
        <w:spacing w:line="560" w:lineRule="exact"/>
        <w:ind w:firstLine="640" w:firstLineChars="200"/>
        <w:rPr>
          <w:rFonts w:hint="eastAsia" w:asciiTheme="minorEastAsia" w:hAnsiTheme="minorEastAsia"/>
          <w:bCs/>
          <w:kern w:val="0"/>
          <w:sz w:val="32"/>
          <w:szCs w:val="32"/>
        </w:rPr>
      </w:pPr>
      <w:r>
        <w:rPr>
          <w:rFonts w:hint="eastAsia" w:asciiTheme="minorEastAsia" w:hAnsiTheme="minorEastAsia"/>
          <w:sz w:val="32"/>
          <w:szCs w:val="32"/>
          <w:lang w:eastAsia="zh-CN"/>
        </w:rPr>
        <w:t>（三）</w:t>
      </w:r>
      <w:r>
        <w:rPr>
          <w:rFonts w:hint="eastAsia" w:asciiTheme="minorEastAsia" w:hAnsiTheme="minorEastAsia"/>
          <w:bCs/>
          <w:kern w:val="0"/>
          <w:sz w:val="32"/>
          <w:szCs w:val="32"/>
        </w:rPr>
        <w:t>负责医疗机构、采血机构、中医服务机构及其从业人员执业活动的监督检查。</w:t>
      </w:r>
    </w:p>
    <w:p>
      <w:pPr>
        <w:spacing w:line="560" w:lineRule="exact"/>
        <w:ind w:firstLine="640" w:firstLineChars="200"/>
        <w:rPr>
          <w:rFonts w:ascii="仿宋_GB2312" w:hAnsi="仿宋" w:eastAsia="仿宋_GB2312"/>
          <w:sz w:val="32"/>
          <w:szCs w:val="32"/>
        </w:rPr>
      </w:pPr>
      <w:r>
        <w:rPr>
          <w:rFonts w:hint="eastAsia" w:asciiTheme="minorEastAsia" w:hAnsiTheme="minorEastAsia"/>
          <w:bCs/>
          <w:kern w:val="0"/>
          <w:sz w:val="32"/>
          <w:szCs w:val="32"/>
        </w:rPr>
        <w:t>（四）依法打击非法行医和非法采供血，负责整顿和规范医疗服务秩序。</w:t>
      </w:r>
    </w:p>
    <w:p>
      <w:pPr>
        <w:spacing w:line="560" w:lineRule="exact"/>
        <w:ind w:firstLine="640" w:firstLineChars="200"/>
        <w:rPr>
          <w:rFonts w:hint="eastAsia" w:asciiTheme="minorEastAsia" w:hAnsiTheme="minorEastAsia"/>
          <w:bCs/>
          <w:kern w:val="0"/>
          <w:sz w:val="32"/>
          <w:szCs w:val="32"/>
          <w:lang w:eastAsia="zh-CN"/>
        </w:rPr>
      </w:pPr>
      <w:r>
        <w:rPr>
          <w:rFonts w:hint="eastAsia" w:asciiTheme="minorEastAsia" w:hAnsiTheme="minorEastAsia"/>
          <w:bCs/>
          <w:kern w:val="0"/>
          <w:sz w:val="32"/>
          <w:szCs w:val="32"/>
        </w:rPr>
        <w:t>（五）负责</w:t>
      </w:r>
      <w:r>
        <w:rPr>
          <w:rFonts w:hint="eastAsia" w:asciiTheme="minorEastAsia" w:hAnsiTheme="minorEastAsia"/>
          <w:bCs/>
          <w:kern w:val="0"/>
          <w:sz w:val="32"/>
          <w:szCs w:val="32"/>
          <w:lang w:eastAsia="zh-CN"/>
        </w:rPr>
        <w:t>全市用人单位职业卫生监督检查。</w:t>
      </w:r>
    </w:p>
    <w:p>
      <w:pPr>
        <w:spacing w:line="56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lang w:eastAsia="zh-CN"/>
        </w:rPr>
        <w:t>（六）负责</w:t>
      </w:r>
      <w:r>
        <w:rPr>
          <w:rFonts w:hint="eastAsia" w:asciiTheme="minorEastAsia" w:hAnsiTheme="minorEastAsia"/>
          <w:bCs/>
          <w:kern w:val="0"/>
          <w:sz w:val="32"/>
          <w:szCs w:val="32"/>
        </w:rPr>
        <w:t>医疗卫生机构的放射诊疗、职业健康检查、职业病诊断工作以及职业卫生技术服务机构的监督检查。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heme="minorEastAsia" w:hAnsiTheme="minorEastAsia"/>
          <w:bCs/>
          <w:kern w:val="0"/>
          <w:sz w:val="32"/>
          <w:szCs w:val="32"/>
        </w:rPr>
      </w:pPr>
      <w:r>
        <w:rPr>
          <w:rFonts w:hint="eastAsia" w:asciiTheme="minorEastAsia" w:hAnsiTheme="minorEastAsia"/>
          <w:bCs/>
          <w:kern w:val="0"/>
          <w:sz w:val="32"/>
          <w:szCs w:val="32"/>
        </w:rPr>
        <w:t>（</w:t>
      </w:r>
      <w:r>
        <w:rPr>
          <w:rFonts w:hint="eastAsia" w:asciiTheme="minorEastAsia" w:hAnsiTheme="minorEastAsia"/>
          <w:bCs/>
          <w:kern w:val="0"/>
          <w:sz w:val="32"/>
          <w:szCs w:val="32"/>
          <w:lang w:eastAsia="zh-CN"/>
        </w:rPr>
        <w:t>七</w:t>
      </w:r>
      <w:r>
        <w:rPr>
          <w:rFonts w:hint="eastAsia" w:asciiTheme="minorEastAsia" w:hAnsiTheme="minorEastAsia"/>
          <w:bCs/>
          <w:kern w:val="0"/>
          <w:sz w:val="32"/>
          <w:szCs w:val="32"/>
        </w:rPr>
        <w:t>）负责医疗机构、采供血机构、疾病预防控制机构的传染病疫情报告、疫情控制措施、消毒隔离制度执行情况、医疗废物处置情况和菌（毒）种管理情况等监督检查。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heme="minorEastAsia" w:hAnsiTheme="minorEastAsia"/>
          <w:bCs/>
          <w:kern w:val="0"/>
          <w:sz w:val="32"/>
          <w:szCs w:val="32"/>
        </w:rPr>
      </w:pPr>
      <w:r>
        <w:rPr>
          <w:rFonts w:hint="eastAsia" w:asciiTheme="minorEastAsia" w:hAnsiTheme="minorEastAsia"/>
          <w:bCs/>
          <w:kern w:val="0"/>
          <w:sz w:val="32"/>
          <w:szCs w:val="32"/>
        </w:rPr>
        <w:t>（</w:t>
      </w:r>
      <w:r>
        <w:rPr>
          <w:rFonts w:hint="eastAsia" w:asciiTheme="minorEastAsia" w:hAnsiTheme="minorEastAsia"/>
          <w:bCs/>
          <w:kern w:val="0"/>
          <w:sz w:val="32"/>
          <w:szCs w:val="32"/>
          <w:lang w:eastAsia="zh-CN"/>
        </w:rPr>
        <w:t>八</w:t>
      </w:r>
      <w:r>
        <w:rPr>
          <w:rFonts w:hint="eastAsia" w:asciiTheme="minorEastAsia" w:hAnsiTheme="minorEastAsia"/>
          <w:bCs/>
          <w:kern w:val="0"/>
          <w:sz w:val="32"/>
          <w:szCs w:val="32"/>
        </w:rPr>
        <w:t>）负责母婴保健机构服务内容和从业人员行为规范的监督，依法打击“两非”行为。</w:t>
      </w:r>
    </w:p>
    <w:p>
      <w:pPr>
        <w:spacing w:line="56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w:t>
      </w:r>
      <w:r>
        <w:rPr>
          <w:rFonts w:hint="eastAsia" w:asciiTheme="minorEastAsia" w:hAnsiTheme="minorEastAsia"/>
          <w:bCs/>
          <w:kern w:val="0"/>
          <w:sz w:val="32"/>
          <w:szCs w:val="32"/>
          <w:lang w:eastAsia="zh-CN"/>
        </w:rPr>
        <w:t>九</w:t>
      </w:r>
      <w:r>
        <w:rPr>
          <w:rFonts w:hint="eastAsia" w:asciiTheme="minorEastAsia" w:hAnsiTheme="minorEastAsia"/>
          <w:bCs/>
          <w:kern w:val="0"/>
          <w:sz w:val="32"/>
          <w:szCs w:val="32"/>
        </w:rPr>
        <w:t>）负责公共卫生突发</w:t>
      </w:r>
      <w:r>
        <w:rPr>
          <w:rFonts w:hint="eastAsia" w:asciiTheme="minorEastAsia" w:hAnsiTheme="minorEastAsia"/>
          <w:bCs/>
          <w:kern w:val="0"/>
          <w:sz w:val="32"/>
          <w:szCs w:val="32"/>
          <w:lang w:eastAsia="zh-CN"/>
        </w:rPr>
        <w:t>事件</w:t>
      </w:r>
      <w:r>
        <w:rPr>
          <w:rFonts w:hint="eastAsia" w:asciiTheme="minorEastAsia" w:hAnsiTheme="minorEastAsia"/>
          <w:bCs/>
          <w:kern w:val="0"/>
          <w:sz w:val="32"/>
          <w:szCs w:val="32"/>
        </w:rPr>
        <w:t>的调查取证和监督检查，提出行政控制和行政处罚意见。</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w:t>
      </w:r>
      <w:r>
        <w:rPr>
          <w:rFonts w:hint="eastAsia" w:asciiTheme="minorEastAsia" w:hAnsiTheme="minorEastAsia"/>
          <w:bCs/>
          <w:kern w:val="0"/>
          <w:sz w:val="32"/>
          <w:szCs w:val="32"/>
          <w:lang w:eastAsia="zh-CN"/>
        </w:rPr>
        <w:t>十</w:t>
      </w:r>
      <w:r>
        <w:rPr>
          <w:rFonts w:hint="eastAsia" w:asciiTheme="minorEastAsia" w:hAnsiTheme="minorEastAsia"/>
          <w:bCs/>
          <w:kern w:val="0"/>
          <w:sz w:val="32"/>
          <w:szCs w:val="32"/>
        </w:rPr>
        <w:t>）负责乡镇（街道）卫生健康综合监督执法的指导和督查。</w:t>
      </w:r>
    </w:p>
    <w:p>
      <w:pPr>
        <w:spacing w:line="56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lang w:eastAsia="zh-CN"/>
        </w:rPr>
        <w:t>（</w:t>
      </w:r>
      <w:r>
        <w:rPr>
          <w:rFonts w:hint="eastAsia" w:asciiTheme="minorEastAsia" w:hAnsiTheme="minorEastAsia"/>
          <w:bCs/>
          <w:kern w:val="0"/>
          <w:sz w:val="32"/>
          <w:szCs w:val="32"/>
          <w:lang w:val="en-US" w:eastAsia="zh-CN"/>
        </w:rPr>
        <w:t>十一</w:t>
      </w:r>
      <w:r>
        <w:rPr>
          <w:rFonts w:hint="eastAsia" w:asciiTheme="minorEastAsia" w:hAnsiTheme="minorEastAsia"/>
          <w:bCs/>
          <w:kern w:val="0"/>
          <w:sz w:val="32"/>
          <w:szCs w:val="32"/>
          <w:lang w:eastAsia="zh-CN"/>
        </w:rPr>
        <w:t>）负责行政区域内卫生健康监督信息的收集、核实和上报。</w:t>
      </w:r>
    </w:p>
    <w:p>
      <w:pPr>
        <w:widowControl/>
        <w:spacing w:line="600" w:lineRule="exact"/>
        <w:rPr>
          <w:rFonts w:hint="eastAsia"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hint="eastAsia" w:asciiTheme="minorEastAsia" w:hAnsiTheme="minorEastAsia"/>
          <w:bCs/>
          <w:kern w:val="0"/>
          <w:sz w:val="32"/>
          <w:szCs w:val="32"/>
          <w:lang w:eastAsia="zh-CN"/>
        </w:rPr>
      </w:pPr>
      <w:r>
        <w:rPr>
          <w:rFonts w:hint="eastAsia" w:asciiTheme="minorEastAsia" w:hAnsiTheme="minorEastAsia"/>
          <w:bCs/>
          <w:kern w:val="0"/>
          <w:sz w:val="32"/>
          <w:szCs w:val="32"/>
        </w:rPr>
        <w:t>（一）内设机构设置。我局为公益一类事业单位，副科级，独立核算。内设医疗执业监督、放射和学校及生活饮用水卫生监督、公共场所监督、法制稽查、宣传信息科、办公室等7个科室</w:t>
      </w:r>
      <w:r>
        <w:rPr>
          <w:rFonts w:hint="eastAsia" w:asciiTheme="minorEastAsia" w:hAnsiTheme="minorEastAsia"/>
          <w:bCs/>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eastAsia="仿宋_GB2312" w:hAnsiTheme="minorEastAsia"/>
          <w:sz w:val="28"/>
          <w:szCs w:val="32"/>
        </w:rPr>
      </w:pPr>
      <w:r>
        <w:rPr>
          <w:rFonts w:hint="eastAsia" w:asciiTheme="minorEastAsia" w:hAnsiTheme="minorEastAsia"/>
          <w:bCs/>
          <w:kern w:val="0"/>
          <w:sz w:val="32"/>
          <w:szCs w:val="32"/>
          <w:lang w:eastAsia="zh-CN"/>
        </w:rPr>
        <w:t>（二）</w:t>
      </w:r>
      <w:r>
        <w:rPr>
          <w:rFonts w:hint="eastAsia" w:asciiTheme="minorEastAsia" w:hAnsiTheme="minorEastAsia"/>
          <w:bCs/>
          <w:kern w:val="0"/>
          <w:sz w:val="32"/>
          <w:szCs w:val="32"/>
        </w:rPr>
        <w:t>决算单位构成。我局只有本级，没有其他二级预算单位，因此，纳入20</w:t>
      </w:r>
      <w:r>
        <w:rPr>
          <w:rFonts w:hint="eastAsia" w:asciiTheme="minorEastAsia" w:hAnsiTheme="minorEastAsia"/>
          <w:bCs/>
          <w:kern w:val="0"/>
          <w:sz w:val="32"/>
          <w:szCs w:val="32"/>
          <w:lang w:val="en-US" w:eastAsia="zh-CN"/>
        </w:rPr>
        <w:t>21</w:t>
      </w:r>
      <w:r>
        <w:rPr>
          <w:rFonts w:hint="eastAsia" w:asciiTheme="minorEastAsia" w:hAnsiTheme="minorEastAsia"/>
          <w:bCs/>
          <w:kern w:val="0"/>
          <w:sz w:val="32"/>
          <w:szCs w:val="32"/>
        </w:rPr>
        <w:t>年部门决算公开的只有卫生计生综合监督执法局本级。</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jc w:val="both"/>
        <w:rPr>
          <w:rFonts w:hint="eastAsia"/>
          <w:sz w:val="72"/>
          <w:szCs w:val="72"/>
        </w:rPr>
      </w:pPr>
    </w:p>
    <w:p>
      <w:pPr>
        <w:jc w:val="both"/>
        <w:rPr>
          <w:rFonts w:hint="eastAsia"/>
          <w:sz w:val="72"/>
          <w:szCs w:val="72"/>
        </w:rPr>
      </w:pPr>
    </w:p>
    <w:p>
      <w:pPr>
        <w:jc w:val="both"/>
        <w:rPr>
          <w:rFonts w:hint="eastAsia"/>
          <w:sz w:val="72"/>
          <w:szCs w:val="72"/>
        </w:rPr>
      </w:pPr>
    </w:p>
    <w:p>
      <w:pPr>
        <w:jc w:val="both"/>
        <w:rPr>
          <w:rFonts w:hint="eastAsia"/>
          <w:sz w:val="72"/>
          <w:szCs w:val="72"/>
        </w:rPr>
      </w:pPr>
    </w:p>
    <w:p>
      <w:pPr>
        <w:jc w:val="both"/>
        <w:rPr>
          <w:rFonts w:hint="eastAsia"/>
          <w:sz w:val="72"/>
          <w:szCs w:val="72"/>
        </w:rPr>
      </w:pPr>
    </w:p>
    <w:p>
      <w:pPr>
        <w:jc w:val="both"/>
        <w:rPr>
          <w:rFonts w:hint="eastAsia"/>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5"/>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湘乡市卫生计生综合监督执法局</w:t>
            </w:r>
            <w:r>
              <w:rPr>
                <w:rFonts w:ascii="宋体" w:hAnsi="宋体" w:eastAsia="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419.15</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rPr>
              <w:t>七、社会保障和就业支出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31.43</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szCs w:val="22"/>
                <w:lang w:val="en-US" w:eastAsia="zh-CN" w:bidi="ar-SA"/>
              </w:rPr>
            </w:pPr>
            <w:r>
              <w:rPr>
                <w:rFonts w:hint="eastAsia" w:ascii="宋体" w:hAnsi="宋体" w:eastAsia="宋体" w:cs="宋体"/>
                <w:kern w:val="0"/>
                <w:sz w:val="22"/>
                <w:szCs w:val="22"/>
                <w:lang w:eastAsia="zh-CN"/>
              </w:rPr>
              <w:t>八、</w:t>
            </w:r>
            <w:r>
              <w:rPr>
                <w:rFonts w:hint="eastAsia" w:ascii="宋体" w:hAnsi="宋体" w:eastAsia="宋体" w:cs="宋体"/>
                <w:kern w:val="0"/>
                <w:sz w:val="22"/>
                <w:szCs w:val="22"/>
              </w:rPr>
              <w:t>卫生健康支出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362.10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rPr>
              <w:t>九、住房保障支出</w:t>
            </w:r>
            <w:r>
              <w:rPr>
                <w:rFonts w:hint="eastAsia" w:ascii="宋体" w:hAnsi="宋体" w:eastAsia="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25.62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419.15</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419.15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419.15</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b/>
                <w:bCs/>
                <w:kern w:val="0"/>
                <w:sz w:val="22"/>
              </w:rPr>
              <w:t>　</w:t>
            </w:r>
            <w:r>
              <w:rPr>
                <w:rFonts w:hint="eastAsia" w:ascii="宋体" w:hAnsi="宋体" w:eastAsia="宋体" w:cs="宋体"/>
                <w:kern w:val="0"/>
                <w:sz w:val="22"/>
                <w:lang w:val="en-US" w:eastAsia="zh-CN"/>
              </w:rPr>
              <w:t>419.15</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5"/>
        <w:tblW w:w="14806" w:type="dxa"/>
        <w:jc w:val="center"/>
        <w:tblLayout w:type="fixed"/>
        <w:tblCellMar>
          <w:top w:w="0" w:type="dxa"/>
          <w:left w:w="0" w:type="dxa"/>
          <w:bottom w:w="0" w:type="dxa"/>
          <w:right w:w="0" w:type="dxa"/>
        </w:tblCellMar>
      </w:tblPr>
      <w:tblGrid>
        <w:gridCol w:w="373"/>
        <w:gridCol w:w="589"/>
        <w:gridCol w:w="4110"/>
        <w:gridCol w:w="2535"/>
        <w:gridCol w:w="1533"/>
        <w:gridCol w:w="1001"/>
        <w:gridCol w:w="1001"/>
        <w:gridCol w:w="1001"/>
        <w:gridCol w:w="1001"/>
        <w:gridCol w:w="1662"/>
      </w:tblGrid>
      <w:tr>
        <w:tblPrEx>
          <w:tblCellMar>
            <w:top w:w="0" w:type="dxa"/>
            <w:left w:w="0" w:type="dxa"/>
            <w:bottom w:w="0" w:type="dxa"/>
            <w:right w:w="0" w:type="dxa"/>
          </w:tblCellMar>
        </w:tblPrEx>
        <w:trPr>
          <w:trHeight w:val="435" w:hRule="atLeast"/>
          <w:jc w:val="center"/>
        </w:trPr>
        <w:tc>
          <w:tcPr>
            <w:tcW w:w="14806"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jc w:val="center"/>
        </w:trPr>
        <w:tc>
          <w:tcPr>
            <w:tcW w:w="37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5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411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3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3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6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jc w:val="center"/>
        </w:trPr>
        <w:tc>
          <w:tcPr>
            <w:tcW w:w="9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color w:val="000000"/>
                <w:sz w:val="20"/>
                <w:szCs w:val="20"/>
                <w:lang w:val="en-US" w:eastAsia="zh-CN"/>
              </w:rPr>
            </w:pPr>
            <w:r>
              <w:rPr>
                <w:rFonts w:hint="eastAsia"/>
                <w:color w:val="000000"/>
                <w:sz w:val="20"/>
                <w:szCs w:val="20"/>
              </w:rPr>
              <w:t>部门：</w:t>
            </w:r>
            <w:r>
              <w:rPr>
                <w:rFonts w:hint="eastAsia"/>
                <w:color w:val="000000"/>
                <w:sz w:val="20"/>
                <w:szCs w:val="20"/>
                <w:lang w:eastAsia="zh-CN"/>
              </w:rPr>
              <w:t>湘乡</w:t>
            </w:r>
          </w:p>
        </w:tc>
        <w:tc>
          <w:tcPr>
            <w:tcW w:w="4110"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sz w:val="24"/>
                <w:szCs w:val="24"/>
              </w:rPr>
            </w:pPr>
            <w:r>
              <w:rPr>
                <w:rFonts w:hint="eastAsia"/>
                <w:lang w:eastAsia="zh-CN"/>
              </w:rPr>
              <w:t>市卫生计生综合监督执法局</w:t>
            </w:r>
            <w:r>
              <w:rPr>
                <w:rFonts w:hint="eastAsia"/>
              </w:rPr>
              <w:t>　</w:t>
            </w:r>
          </w:p>
        </w:tc>
        <w:tc>
          <w:tcPr>
            <w:tcW w:w="253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3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1"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00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6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jc w:val="center"/>
        </w:trPr>
        <w:tc>
          <w:tcPr>
            <w:tcW w:w="5072"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253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533"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00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00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00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00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66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jc w:val="center"/>
        </w:trPr>
        <w:tc>
          <w:tcPr>
            <w:tcW w:w="96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411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253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6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312" w:hRule="atLeast"/>
          <w:jc w:val="center"/>
        </w:trPr>
        <w:tc>
          <w:tcPr>
            <w:tcW w:w="9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4110"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3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6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391" w:hRule="atLeast"/>
          <w:jc w:val="center"/>
        </w:trPr>
        <w:tc>
          <w:tcPr>
            <w:tcW w:w="50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25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53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00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00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00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00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66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391" w:hRule="atLeast"/>
          <w:jc w:val="center"/>
        </w:trPr>
        <w:tc>
          <w:tcPr>
            <w:tcW w:w="507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419.15</w:t>
            </w:r>
            <w:r>
              <w:rPr>
                <w:rFonts w:hint="eastAsia" w:asciiTheme="minorEastAsia" w:hAnsiTheme="minorEastAsia" w:eastAsiaTheme="minorEastAsia" w:cstheme="minorEastAsia"/>
              </w:rPr>
              <w:t>　</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419.15</w:t>
            </w:r>
            <w:r>
              <w:rPr>
                <w:rFonts w:hint="eastAsia" w:asciiTheme="minorEastAsia" w:hAnsiTheme="minorEastAsia" w:eastAsiaTheme="minorEastAsia" w:cstheme="minorEastAsia"/>
              </w:rPr>
              <w:t>　</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r>
              <w:rPr>
                <w:rFonts w:hint="eastAsia" w:asciiTheme="minorEastAsia" w:hAnsiTheme="minorEastAsia" w:eastAsiaTheme="minorEastAsia" w:cstheme="minorEastAsia"/>
              </w:rPr>
              <w:t>　</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208</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2"/>
                <w:szCs w:val="22"/>
                <w:lang w:eastAsia="zh-CN"/>
              </w:rPr>
            </w:pPr>
            <w:r>
              <w:rPr>
                <w:rFonts w:hint="eastAsia"/>
                <w:sz w:val="22"/>
                <w:szCs w:val="22"/>
                <w:lang w:eastAsia="zh-CN"/>
              </w:rPr>
              <w:t>社会保障和就业支出</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lang w:val="en-US" w:eastAsia="zh-CN"/>
              </w:rPr>
              <w:t>31.43</w:t>
            </w:r>
            <w:r>
              <w:rPr>
                <w:rFonts w:hint="eastAsia" w:asciiTheme="minorEastAsia" w:hAnsiTheme="minorEastAsia" w:eastAsiaTheme="minorEastAsia" w:cstheme="minorEastAsia"/>
              </w:rPr>
              <w:t>　</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31.43</w:t>
            </w:r>
            <w:r>
              <w:rPr>
                <w:rFonts w:hint="eastAsia" w:asciiTheme="minorEastAsia" w:hAnsiTheme="minorEastAsia" w:eastAsiaTheme="minorEastAsia" w:cstheme="minorEastAsia"/>
              </w:rPr>
              <w:t>　</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20805</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sz w:val="22"/>
                <w:szCs w:val="22"/>
              </w:rPr>
            </w:pPr>
            <w:r>
              <w:rPr>
                <w:rFonts w:hint="eastAsia"/>
                <w:sz w:val="22"/>
                <w:szCs w:val="22"/>
              </w:rPr>
              <w:t>行政事业单位养老支出</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color w:val="auto"/>
                <w:highlight w:val="none"/>
                <w:lang w:val="en-US" w:eastAsia="zh-CN"/>
              </w:rPr>
              <w:t>27.55</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highlight w:val="none"/>
                <w:lang w:val="en-US" w:eastAsia="zh-CN"/>
              </w:rPr>
            </w:pPr>
            <w:r>
              <w:rPr>
                <w:rFonts w:hint="eastAsia" w:asciiTheme="minorEastAsia" w:hAnsiTheme="minorEastAsia" w:eastAsiaTheme="minorEastAsia" w:cstheme="minorEastAsia"/>
                <w:color w:val="auto"/>
                <w:highlight w:val="none"/>
                <w:lang w:val="en-US" w:eastAsia="zh-CN"/>
              </w:rPr>
              <w:t>27.55</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2080502</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sz w:val="22"/>
                <w:szCs w:val="22"/>
              </w:rPr>
            </w:pPr>
            <w:r>
              <w:rPr>
                <w:rFonts w:hint="eastAsia"/>
                <w:sz w:val="22"/>
                <w:szCs w:val="22"/>
              </w:rPr>
              <w:t xml:space="preserve">  事业单位离退休</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lang w:val="en-US" w:eastAsia="zh-CN"/>
              </w:rPr>
              <w:t>0.08</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0.08</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2080505</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2"/>
                <w:szCs w:val="22"/>
              </w:rPr>
            </w:pPr>
            <w:r>
              <w:rPr>
                <w:rFonts w:hint="eastAsia"/>
                <w:sz w:val="22"/>
                <w:szCs w:val="22"/>
              </w:rPr>
              <w:t>　机关事业单位基本养老保险缴费支出</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lang w:val="en-US" w:eastAsia="zh-CN"/>
              </w:rPr>
              <w:t>27.47</w:t>
            </w:r>
            <w:r>
              <w:rPr>
                <w:rFonts w:hint="eastAsia" w:asciiTheme="minorEastAsia" w:hAnsiTheme="minorEastAsia" w:eastAsiaTheme="minorEastAsia" w:cstheme="minorEastAsia"/>
              </w:rPr>
              <w:t>　</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27.47</w:t>
            </w:r>
            <w:r>
              <w:rPr>
                <w:rFonts w:hint="eastAsia" w:asciiTheme="minorEastAsia" w:hAnsiTheme="minorEastAsia" w:eastAsiaTheme="minorEastAsia" w:cstheme="minorEastAsia"/>
              </w:rPr>
              <w:t>　</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20899</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sz w:val="22"/>
                <w:szCs w:val="22"/>
              </w:rPr>
            </w:pPr>
            <w:r>
              <w:rPr>
                <w:rFonts w:hint="eastAsia"/>
                <w:sz w:val="22"/>
                <w:szCs w:val="22"/>
              </w:rPr>
              <w:t>其他社会保障和就业支出</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highlight w:val="none"/>
                <w:lang w:val="en-US" w:eastAsia="zh-CN"/>
              </w:rPr>
              <w:t>3.88</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highlight w:val="none"/>
                <w:lang w:val="en-US" w:eastAsia="zh-CN"/>
              </w:rPr>
            </w:pPr>
            <w:r>
              <w:rPr>
                <w:rFonts w:hint="eastAsia" w:asciiTheme="minorEastAsia" w:hAnsiTheme="minorEastAsia" w:eastAsiaTheme="minorEastAsia" w:cstheme="minorEastAsia"/>
                <w:highlight w:val="none"/>
                <w:lang w:val="en-US" w:eastAsia="zh-CN"/>
              </w:rPr>
              <w:t>3.88</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2089999</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sz w:val="22"/>
                <w:szCs w:val="22"/>
              </w:rPr>
            </w:pPr>
            <w:r>
              <w:rPr>
                <w:rFonts w:hint="eastAsia"/>
                <w:sz w:val="22"/>
                <w:szCs w:val="22"/>
              </w:rPr>
              <w:t xml:space="preserve">  其他社会保障和就业支出</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lang w:val="en-US" w:eastAsia="zh-CN"/>
              </w:rPr>
              <w:t>3.88</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3.88</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210</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sz w:val="22"/>
                <w:szCs w:val="22"/>
              </w:rPr>
            </w:pPr>
            <w:r>
              <w:rPr>
                <w:rFonts w:hint="eastAsia"/>
                <w:sz w:val="22"/>
                <w:szCs w:val="22"/>
              </w:rPr>
              <w:t>卫生健康支出</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highlight w:val="none"/>
                <w:lang w:val="en-US" w:eastAsia="zh-CN"/>
              </w:rPr>
              <w:t>362.10</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highlight w:val="none"/>
                <w:lang w:val="en-US" w:eastAsia="zh-CN"/>
              </w:rPr>
            </w:pPr>
            <w:r>
              <w:rPr>
                <w:rFonts w:hint="eastAsia" w:asciiTheme="minorEastAsia" w:hAnsiTheme="minorEastAsia" w:eastAsiaTheme="minorEastAsia" w:cstheme="minorEastAsia"/>
                <w:highlight w:val="none"/>
                <w:lang w:val="en-US" w:eastAsia="zh-CN"/>
              </w:rPr>
              <w:t>362.10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21001</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2"/>
                <w:szCs w:val="22"/>
              </w:rPr>
            </w:pPr>
            <w:r>
              <w:rPr>
                <w:rFonts w:hint="eastAsia"/>
                <w:sz w:val="22"/>
                <w:szCs w:val="22"/>
              </w:rPr>
              <w:t>卫生健康管理事务</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lang w:val="en-US" w:eastAsia="zh-CN"/>
              </w:rPr>
              <w:t>2.89</w:t>
            </w:r>
            <w:r>
              <w:rPr>
                <w:rFonts w:hint="eastAsia" w:asciiTheme="minorEastAsia" w:hAnsiTheme="minorEastAsia" w:eastAsiaTheme="minorEastAsia" w:cstheme="minorEastAsia"/>
              </w:rPr>
              <w:t>　</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2.89</w:t>
            </w:r>
            <w:r>
              <w:rPr>
                <w:rFonts w:hint="eastAsia" w:asciiTheme="minorEastAsia" w:hAnsiTheme="minorEastAsia" w:eastAsiaTheme="minorEastAsia" w:cstheme="minorEastAsia"/>
              </w:rPr>
              <w:t>　</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2100101</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sz w:val="22"/>
                <w:szCs w:val="22"/>
              </w:rPr>
            </w:pPr>
            <w:r>
              <w:rPr>
                <w:rFonts w:hint="eastAsia"/>
                <w:sz w:val="22"/>
                <w:szCs w:val="22"/>
              </w:rPr>
              <w:t xml:space="preserve">  行政运行</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lang w:val="en-US" w:eastAsia="zh-CN"/>
              </w:rPr>
              <w:t>2.89</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2.89</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21004</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2"/>
                <w:szCs w:val="22"/>
              </w:rPr>
            </w:pPr>
            <w:r>
              <w:rPr>
                <w:rFonts w:hint="eastAsia"/>
                <w:sz w:val="22"/>
                <w:szCs w:val="22"/>
              </w:rPr>
              <w:t>公共卫生</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lang w:val="en-US" w:eastAsia="zh-CN"/>
              </w:rPr>
              <w:t>344.61</w:t>
            </w:r>
            <w:r>
              <w:rPr>
                <w:rFonts w:hint="eastAsia" w:asciiTheme="minorEastAsia" w:hAnsiTheme="minorEastAsia" w:eastAsiaTheme="minorEastAsia" w:cstheme="minorEastAsia"/>
              </w:rPr>
              <w:t>　</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344.61</w:t>
            </w:r>
            <w:r>
              <w:rPr>
                <w:rFonts w:hint="eastAsia" w:asciiTheme="minorEastAsia" w:hAnsiTheme="minorEastAsia" w:eastAsiaTheme="minorEastAsia" w:cstheme="minorEastAsia"/>
              </w:rPr>
              <w:t>　</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2100402</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20" w:firstLineChars="100"/>
              <w:rPr>
                <w:rFonts w:hint="eastAsia"/>
                <w:sz w:val="22"/>
                <w:szCs w:val="22"/>
              </w:rPr>
            </w:pPr>
            <w:r>
              <w:rPr>
                <w:rFonts w:hint="eastAsia"/>
                <w:sz w:val="22"/>
                <w:szCs w:val="22"/>
              </w:rPr>
              <w:t>卫生监督机构</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lang w:val="en-US" w:eastAsia="zh-CN"/>
              </w:rPr>
              <w:t>344.61</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344.61</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21011</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sz w:val="22"/>
                <w:szCs w:val="22"/>
              </w:rPr>
            </w:pPr>
            <w:r>
              <w:rPr>
                <w:rFonts w:hint="eastAsia"/>
                <w:sz w:val="22"/>
                <w:szCs w:val="22"/>
              </w:rPr>
              <w:t>行政事业单位医疗</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lang w:val="en-US" w:eastAsia="zh-CN"/>
              </w:rPr>
              <w:t>14.60</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14.60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2101102</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20" w:firstLineChars="100"/>
              <w:rPr>
                <w:rFonts w:ascii="宋体" w:hAnsi="宋体" w:eastAsia="宋体" w:cs="宋体"/>
                <w:sz w:val="22"/>
                <w:szCs w:val="22"/>
              </w:rPr>
            </w:pPr>
            <w:r>
              <w:rPr>
                <w:rFonts w:hint="eastAsia"/>
                <w:sz w:val="22"/>
                <w:szCs w:val="22"/>
              </w:rPr>
              <w:t>事业单位医疗</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lang w:val="en-US" w:eastAsia="zh-CN"/>
              </w:rPr>
              <w:t>14.60</w:t>
            </w:r>
            <w:r>
              <w:rPr>
                <w:rFonts w:hint="eastAsia" w:asciiTheme="minorEastAsia" w:hAnsiTheme="minorEastAsia" w:eastAsiaTheme="minorEastAsia" w:cstheme="minorEastAsia"/>
              </w:rPr>
              <w:t>　</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14.60</w:t>
            </w:r>
            <w:r>
              <w:rPr>
                <w:rFonts w:hint="eastAsia" w:asciiTheme="minorEastAsia" w:hAnsiTheme="minorEastAsia" w:eastAsiaTheme="minorEastAsia" w:cstheme="minorEastAsia"/>
              </w:rPr>
              <w:t>　</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221</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sz w:val="22"/>
                <w:szCs w:val="22"/>
              </w:rPr>
            </w:pPr>
            <w:r>
              <w:rPr>
                <w:rFonts w:hint="eastAsia"/>
                <w:sz w:val="22"/>
                <w:szCs w:val="22"/>
              </w:rPr>
              <w:t>住房保障支出</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lang w:val="en-US" w:eastAsia="zh-CN"/>
              </w:rPr>
              <w:t>25.62</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25.62</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22102</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住房改革支出</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25.62</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25.62</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96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2210201</w:t>
            </w:r>
          </w:p>
        </w:tc>
        <w:tc>
          <w:tcPr>
            <w:tcW w:w="41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住房公积金</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25.62　</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25.62　</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0.00</w:t>
            </w:r>
          </w:p>
        </w:tc>
        <w:tc>
          <w:tcPr>
            <w:tcW w:w="10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0.00</w:t>
            </w:r>
          </w:p>
        </w:tc>
        <w:tc>
          <w:tcPr>
            <w:tcW w:w="16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0.00</w:t>
            </w:r>
          </w:p>
        </w:tc>
      </w:tr>
      <w:tr>
        <w:tblPrEx>
          <w:tblCellMar>
            <w:top w:w="0" w:type="dxa"/>
            <w:left w:w="0" w:type="dxa"/>
            <w:bottom w:w="0" w:type="dxa"/>
            <w:right w:w="0" w:type="dxa"/>
          </w:tblCellMar>
        </w:tblPrEx>
        <w:trPr>
          <w:trHeight w:val="391" w:hRule="atLeast"/>
          <w:jc w:val="center"/>
        </w:trPr>
        <w:tc>
          <w:tcPr>
            <w:tcW w:w="14806"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5"/>
        <w:tblW w:w="14739" w:type="dxa"/>
        <w:jc w:val="center"/>
        <w:tblLayout w:type="fixed"/>
        <w:tblCellMar>
          <w:top w:w="0" w:type="dxa"/>
          <w:left w:w="108" w:type="dxa"/>
          <w:bottom w:w="0" w:type="dxa"/>
          <w:right w:w="108" w:type="dxa"/>
        </w:tblCellMar>
      </w:tblPr>
      <w:tblGrid>
        <w:gridCol w:w="1024"/>
        <w:gridCol w:w="240"/>
        <w:gridCol w:w="4285"/>
        <w:gridCol w:w="240"/>
        <w:gridCol w:w="1493"/>
        <w:gridCol w:w="240"/>
        <w:gridCol w:w="1277"/>
        <w:gridCol w:w="240"/>
        <w:gridCol w:w="1260"/>
        <w:gridCol w:w="240"/>
        <w:gridCol w:w="1127"/>
        <w:gridCol w:w="240"/>
        <w:gridCol w:w="1076"/>
        <w:gridCol w:w="240"/>
        <w:gridCol w:w="1277"/>
        <w:gridCol w:w="240"/>
      </w:tblGrid>
      <w:tr>
        <w:tblPrEx>
          <w:tblCellMar>
            <w:top w:w="0" w:type="dxa"/>
            <w:left w:w="108" w:type="dxa"/>
            <w:bottom w:w="0" w:type="dxa"/>
            <w:right w:w="108" w:type="dxa"/>
          </w:tblCellMar>
        </w:tblPrEx>
        <w:trPr>
          <w:trHeight w:val="435" w:hRule="atLeast"/>
          <w:jc w:val="center"/>
        </w:trPr>
        <w:tc>
          <w:tcPr>
            <w:tcW w:w="14739" w:type="dxa"/>
            <w:gridSpan w:val="16"/>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gridAfter w:val="1"/>
          <w:wAfter w:w="240" w:type="dxa"/>
          <w:trHeight w:val="285" w:hRule="atLeast"/>
          <w:jc w:val="center"/>
        </w:trPr>
        <w:tc>
          <w:tcPr>
            <w:tcW w:w="102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52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6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16"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gridAfter w:val="1"/>
          <w:wAfter w:w="240" w:type="dxa"/>
          <w:trHeight w:val="285" w:hRule="atLeast"/>
          <w:jc w:val="center"/>
        </w:trPr>
        <w:tc>
          <w:tcPr>
            <w:tcW w:w="1024"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w:t>
            </w:r>
          </w:p>
        </w:tc>
        <w:tc>
          <w:tcPr>
            <w:tcW w:w="4525" w:type="dxa"/>
            <w:gridSpan w:val="2"/>
            <w:tcBorders>
              <w:top w:val="nil"/>
              <w:left w:val="nil"/>
              <w:bottom w:val="nil"/>
              <w:right w:val="nil"/>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lang w:eastAsia="zh-CN"/>
              </w:rPr>
              <w:t>乡市卫生计生综合监督执法局</w:t>
            </w:r>
            <w:r>
              <w:rPr>
                <w:rFonts w:hint="eastAsia" w:ascii="宋体" w:hAnsi="宋体" w:eastAsia="宋体" w:cs="宋体"/>
                <w:kern w:val="0"/>
                <w:sz w:val="20"/>
                <w:szCs w:val="20"/>
              </w:rPr>
              <w:t>　</w:t>
            </w:r>
          </w:p>
        </w:tc>
        <w:tc>
          <w:tcPr>
            <w:tcW w:w="173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0" w:type="dxa"/>
            <w:gridSpan w:val="2"/>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36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16"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jc w:val="center"/>
        </w:trPr>
        <w:tc>
          <w:tcPr>
            <w:tcW w:w="5789"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33"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517"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367"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31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517"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jc w:val="center"/>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4525" w:type="dxa"/>
            <w:gridSpan w:val="2"/>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3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1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6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1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1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12" w:hRule="atLeast"/>
          <w:jc w:val="center"/>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4525"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3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1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6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1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1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74" w:hRule="atLeast"/>
          <w:jc w:val="center"/>
        </w:trPr>
        <w:tc>
          <w:tcPr>
            <w:tcW w:w="5789"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33"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51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5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31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51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374" w:hRule="atLeast"/>
          <w:jc w:val="center"/>
        </w:trPr>
        <w:tc>
          <w:tcPr>
            <w:tcW w:w="5789"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733"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419.15</w:t>
            </w:r>
            <w:r>
              <w:rPr>
                <w:rFonts w:hint="eastAsia" w:asciiTheme="minorEastAsia" w:hAnsiTheme="minorEastAsia" w:eastAsiaTheme="minorEastAsia" w:cstheme="minorEastAsia"/>
                <w:kern w:val="0"/>
                <w:sz w:val="21"/>
                <w:szCs w:val="21"/>
              </w:rPr>
              <w:t>　</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388.53</w:t>
            </w:r>
            <w:r>
              <w:rPr>
                <w:rFonts w:hint="eastAsia" w:asciiTheme="minorEastAsia" w:hAnsiTheme="minorEastAsia" w:eastAsiaTheme="minorEastAsia" w:cstheme="minorEastAsia"/>
                <w:kern w:val="0"/>
                <w:sz w:val="21"/>
                <w:szCs w:val="21"/>
              </w:rPr>
              <w:t>　</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30.62</w:t>
            </w:r>
            <w:r>
              <w:rPr>
                <w:rFonts w:hint="eastAsia" w:asciiTheme="minorEastAsia" w:hAnsiTheme="minorEastAsia" w:eastAsiaTheme="minorEastAsia" w:cstheme="minorEastAsia"/>
                <w:kern w:val="0"/>
                <w:sz w:val="21"/>
                <w:szCs w:val="21"/>
              </w:rPr>
              <w:t>　</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lang w:val="en-US" w:eastAsia="zh-CN"/>
              </w:rPr>
              <w:t>208</w:t>
            </w:r>
          </w:p>
        </w:tc>
        <w:tc>
          <w:tcPr>
            <w:tcW w:w="4525" w:type="dxa"/>
            <w:gridSpan w:val="2"/>
            <w:tcBorders>
              <w:top w:val="nil"/>
              <w:left w:val="nil"/>
              <w:bottom w:val="single" w:color="auto" w:sz="4" w:space="0"/>
              <w:right w:val="single" w:color="auto" w:sz="4" w:space="0"/>
            </w:tcBorders>
            <w:shd w:val="clear" w:color="000000" w:fill="FFFFFF"/>
            <w:noWrap/>
            <w:vAlign w:val="center"/>
          </w:tcPr>
          <w:p>
            <w:pPr>
              <w:rPr>
                <w:rFonts w:hint="eastAsia" w:ascii="宋体" w:hAnsi="宋体" w:cs="宋体" w:eastAsiaTheme="minorEastAsia"/>
                <w:kern w:val="2"/>
                <w:sz w:val="22"/>
                <w:szCs w:val="22"/>
                <w:lang w:val="en-US" w:eastAsia="zh-CN" w:bidi="ar-SA"/>
              </w:rPr>
            </w:pPr>
            <w:r>
              <w:rPr>
                <w:rFonts w:hint="eastAsia"/>
                <w:sz w:val="22"/>
                <w:szCs w:val="22"/>
                <w:lang w:eastAsia="zh-CN"/>
              </w:rPr>
              <w:t>社会保障和就业支出</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31.43</w:t>
            </w:r>
            <w:r>
              <w:rPr>
                <w:rFonts w:hint="eastAsia" w:asciiTheme="minorEastAsia" w:hAnsiTheme="minorEastAsia" w:eastAsiaTheme="minorEastAsia" w:cstheme="minorEastAsia"/>
                <w:sz w:val="21"/>
                <w:szCs w:val="21"/>
              </w:rPr>
              <w:t>　</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31.43</w:t>
            </w:r>
            <w:r>
              <w:rPr>
                <w:rFonts w:hint="eastAsia" w:asciiTheme="minorEastAsia" w:hAnsiTheme="minorEastAsia" w:eastAsiaTheme="minorEastAsia" w:cstheme="minorEastAsia"/>
                <w:sz w:val="21"/>
                <w:szCs w:val="21"/>
              </w:rPr>
              <w:t>　</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lang w:val="en-US" w:eastAsia="zh-CN"/>
              </w:rPr>
              <w:t>20805</w:t>
            </w:r>
          </w:p>
        </w:tc>
        <w:tc>
          <w:tcPr>
            <w:tcW w:w="4525" w:type="dxa"/>
            <w:gridSpan w:val="2"/>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2"/>
                <w:szCs w:val="22"/>
                <w:lang w:val="en-US" w:eastAsia="zh-CN" w:bidi="ar-SA"/>
              </w:rPr>
            </w:pPr>
            <w:r>
              <w:rPr>
                <w:rFonts w:hint="eastAsia"/>
                <w:sz w:val="22"/>
                <w:szCs w:val="22"/>
              </w:rPr>
              <w:t>行政事业单位养老支出</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27.55</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27.55</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lang w:val="en-US" w:eastAsia="zh-CN"/>
              </w:rPr>
              <w:t>2080502</w:t>
            </w:r>
          </w:p>
        </w:tc>
        <w:tc>
          <w:tcPr>
            <w:tcW w:w="4525" w:type="dxa"/>
            <w:gridSpan w:val="2"/>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2"/>
                <w:szCs w:val="22"/>
                <w:lang w:val="en-US" w:eastAsia="zh-CN" w:bidi="ar-SA"/>
              </w:rPr>
            </w:pPr>
            <w:r>
              <w:rPr>
                <w:rFonts w:hint="eastAsia"/>
                <w:sz w:val="22"/>
                <w:szCs w:val="22"/>
              </w:rPr>
              <w:t xml:space="preserve">  事业单位离退休</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0.08</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0.08</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lang w:val="en-US" w:eastAsia="zh-CN"/>
              </w:rPr>
              <w:t>2080505</w:t>
            </w:r>
          </w:p>
        </w:tc>
        <w:tc>
          <w:tcPr>
            <w:tcW w:w="4525" w:type="dxa"/>
            <w:gridSpan w:val="2"/>
            <w:tcBorders>
              <w:top w:val="nil"/>
              <w:left w:val="nil"/>
              <w:bottom w:val="single" w:color="auto" w:sz="4" w:space="0"/>
              <w:right w:val="single" w:color="auto" w:sz="4" w:space="0"/>
            </w:tcBorders>
            <w:shd w:val="clear" w:color="000000" w:fill="FFFFFF"/>
            <w:noWrap/>
            <w:vAlign w:val="center"/>
          </w:tcPr>
          <w:p>
            <w:pPr>
              <w:rPr>
                <w:rFonts w:hint="eastAsia" w:ascii="宋体" w:hAnsi="宋体" w:eastAsia="宋体" w:cs="宋体"/>
                <w:kern w:val="2"/>
                <w:sz w:val="22"/>
                <w:szCs w:val="22"/>
                <w:lang w:val="en-US" w:eastAsia="zh-CN" w:bidi="ar-SA"/>
              </w:rPr>
            </w:pPr>
            <w:r>
              <w:rPr>
                <w:rFonts w:hint="eastAsia"/>
                <w:sz w:val="22"/>
                <w:szCs w:val="22"/>
              </w:rPr>
              <w:t>　机关事业单位基本养老保险缴费支出</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27.47</w:t>
            </w:r>
            <w:r>
              <w:rPr>
                <w:rFonts w:hint="eastAsia" w:asciiTheme="minorEastAsia" w:hAnsiTheme="minorEastAsia" w:eastAsiaTheme="minorEastAsia" w:cstheme="minorEastAsia"/>
                <w:sz w:val="21"/>
                <w:szCs w:val="21"/>
              </w:rPr>
              <w:t>　</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27.47</w:t>
            </w:r>
            <w:r>
              <w:rPr>
                <w:rFonts w:hint="eastAsia" w:asciiTheme="minorEastAsia" w:hAnsiTheme="minorEastAsia" w:eastAsiaTheme="minorEastAsia" w:cstheme="minorEastAsia"/>
                <w:sz w:val="21"/>
                <w:szCs w:val="21"/>
              </w:rPr>
              <w:t>　</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lang w:val="en-US" w:eastAsia="zh-CN"/>
              </w:rPr>
              <w:t>20899</w:t>
            </w:r>
          </w:p>
        </w:tc>
        <w:tc>
          <w:tcPr>
            <w:tcW w:w="4525" w:type="dxa"/>
            <w:gridSpan w:val="2"/>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2"/>
                <w:szCs w:val="22"/>
                <w:lang w:val="en-US" w:eastAsia="zh-CN" w:bidi="ar-SA"/>
              </w:rPr>
            </w:pPr>
            <w:r>
              <w:rPr>
                <w:rFonts w:hint="eastAsia"/>
                <w:sz w:val="22"/>
                <w:szCs w:val="22"/>
              </w:rPr>
              <w:t>其他社会保障和就业支出</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highlight w:val="none"/>
                <w:lang w:val="en-US" w:eastAsia="zh-CN"/>
              </w:rPr>
              <w:t>3.88</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highlight w:val="none"/>
                <w:lang w:val="en-US" w:eastAsia="zh-CN"/>
              </w:rPr>
              <w:t>3.88</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lang w:val="en-US" w:eastAsia="zh-CN"/>
              </w:rPr>
              <w:t>2089999</w:t>
            </w:r>
          </w:p>
        </w:tc>
        <w:tc>
          <w:tcPr>
            <w:tcW w:w="4525" w:type="dxa"/>
            <w:gridSpan w:val="2"/>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2"/>
                <w:szCs w:val="22"/>
                <w:lang w:val="en-US" w:eastAsia="zh-CN" w:bidi="ar-SA"/>
              </w:rPr>
            </w:pPr>
            <w:r>
              <w:rPr>
                <w:rFonts w:hint="eastAsia"/>
                <w:sz w:val="22"/>
                <w:szCs w:val="22"/>
              </w:rPr>
              <w:t xml:space="preserve">  其他社会保障和就业支出</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3.88</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3.88</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lang w:val="en-US" w:eastAsia="zh-CN"/>
              </w:rPr>
              <w:t>210</w:t>
            </w:r>
          </w:p>
        </w:tc>
        <w:tc>
          <w:tcPr>
            <w:tcW w:w="4525" w:type="dxa"/>
            <w:gridSpan w:val="2"/>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2"/>
                <w:szCs w:val="22"/>
                <w:lang w:val="en-US" w:eastAsia="zh-CN" w:bidi="ar-SA"/>
              </w:rPr>
            </w:pPr>
            <w:r>
              <w:rPr>
                <w:rFonts w:hint="eastAsia"/>
                <w:sz w:val="22"/>
                <w:szCs w:val="22"/>
              </w:rPr>
              <w:t>卫生健康支出</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highlight w:val="none"/>
                <w:lang w:val="en-US" w:eastAsia="zh-CN"/>
              </w:rPr>
              <w:t>362.10</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highlight w:val="none"/>
                <w:lang w:val="en-US" w:eastAsia="zh-CN"/>
              </w:rPr>
              <w:t>331.48</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cstheme="minorEastAsia"/>
                <w:kern w:val="0"/>
                <w:sz w:val="21"/>
                <w:szCs w:val="21"/>
                <w:lang w:val="en-US" w:eastAsia="zh-CN"/>
              </w:rPr>
              <w:t>30.62</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lang w:val="en-US" w:eastAsia="zh-CN"/>
              </w:rPr>
              <w:t>21001</w:t>
            </w:r>
          </w:p>
        </w:tc>
        <w:tc>
          <w:tcPr>
            <w:tcW w:w="4525"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kern w:val="2"/>
                <w:sz w:val="22"/>
                <w:szCs w:val="22"/>
                <w:lang w:val="en-US" w:eastAsia="zh-CN" w:bidi="ar-SA"/>
              </w:rPr>
            </w:pPr>
            <w:r>
              <w:rPr>
                <w:rFonts w:hint="eastAsia"/>
                <w:sz w:val="22"/>
                <w:szCs w:val="22"/>
              </w:rPr>
              <w:t>卫生健康管理事务</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2.89</w:t>
            </w:r>
            <w:r>
              <w:rPr>
                <w:rFonts w:hint="eastAsia" w:asciiTheme="minorEastAsia" w:hAnsiTheme="minorEastAsia" w:eastAsiaTheme="minorEastAsia" w:cstheme="minorEastAsia"/>
                <w:sz w:val="21"/>
                <w:szCs w:val="21"/>
              </w:rPr>
              <w:t>　</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2.89</w:t>
            </w:r>
            <w:r>
              <w:rPr>
                <w:rFonts w:hint="eastAsia" w:asciiTheme="minorEastAsia" w:hAnsiTheme="minorEastAsia" w:eastAsiaTheme="minorEastAsia" w:cstheme="minorEastAsia"/>
                <w:sz w:val="21"/>
                <w:szCs w:val="21"/>
              </w:rPr>
              <w:t>　</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lang w:val="en-US" w:eastAsia="zh-CN"/>
              </w:rPr>
              <w:t>2100101</w:t>
            </w:r>
          </w:p>
        </w:tc>
        <w:tc>
          <w:tcPr>
            <w:tcW w:w="4525" w:type="dxa"/>
            <w:gridSpan w:val="2"/>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2"/>
                <w:szCs w:val="22"/>
                <w:lang w:val="en-US" w:eastAsia="zh-CN" w:bidi="ar-SA"/>
              </w:rPr>
            </w:pPr>
            <w:r>
              <w:rPr>
                <w:rFonts w:hint="eastAsia"/>
                <w:sz w:val="22"/>
                <w:szCs w:val="22"/>
              </w:rPr>
              <w:t xml:space="preserve">  行政运行</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2.89</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2.89</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lang w:val="en-US" w:eastAsia="zh-CN"/>
              </w:rPr>
              <w:t>21004</w:t>
            </w:r>
          </w:p>
        </w:tc>
        <w:tc>
          <w:tcPr>
            <w:tcW w:w="4525"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kern w:val="2"/>
                <w:sz w:val="22"/>
                <w:szCs w:val="22"/>
                <w:lang w:val="en-US" w:eastAsia="zh-CN" w:bidi="ar-SA"/>
              </w:rPr>
            </w:pPr>
            <w:r>
              <w:rPr>
                <w:rFonts w:hint="eastAsia"/>
                <w:sz w:val="22"/>
                <w:szCs w:val="22"/>
              </w:rPr>
              <w:t>公共卫生</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344.61</w:t>
            </w:r>
            <w:r>
              <w:rPr>
                <w:rFonts w:hint="eastAsia" w:asciiTheme="minorEastAsia" w:hAnsiTheme="minorEastAsia" w:eastAsiaTheme="minorEastAsia" w:cstheme="minorEastAsia"/>
                <w:sz w:val="21"/>
                <w:szCs w:val="21"/>
              </w:rPr>
              <w:t>　</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313.99</w:t>
            </w:r>
            <w:r>
              <w:rPr>
                <w:rFonts w:hint="eastAsia" w:asciiTheme="minorEastAsia" w:hAnsiTheme="minorEastAsia" w:eastAsiaTheme="minorEastAsia" w:cstheme="minorEastAsia"/>
                <w:sz w:val="21"/>
                <w:szCs w:val="21"/>
              </w:rPr>
              <w:t>　</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Theme="minorEastAsia" w:hAnsiTheme="minorEastAsia" w:eastAsiaTheme="minorEastAsia" w:cstheme="minorEastAsia"/>
                <w:kern w:val="0"/>
                <w:sz w:val="21"/>
                <w:szCs w:val="21"/>
                <w:lang w:val="en-US"/>
              </w:rPr>
            </w:pPr>
            <w:r>
              <w:rPr>
                <w:rFonts w:hint="eastAsia" w:asciiTheme="minorEastAsia" w:hAnsiTheme="minorEastAsia" w:cstheme="minorEastAsia"/>
                <w:kern w:val="0"/>
                <w:sz w:val="21"/>
                <w:szCs w:val="21"/>
                <w:lang w:val="en-US" w:eastAsia="zh-CN"/>
              </w:rPr>
              <w:t>30.62</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lang w:val="en-US" w:eastAsia="zh-CN"/>
              </w:rPr>
              <w:t>2100402</w:t>
            </w:r>
          </w:p>
        </w:tc>
        <w:tc>
          <w:tcPr>
            <w:tcW w:w="4525" w:type="dxa"/>
            <w:gridSpan w:val="2"/>
            <w:tcBorders>
              <w:top w:val="nil"/>
              <w:left w:val="nil"/>
              <w:bottom w:val="single" w:color="auto" w:sz="4" w:space="0"/>
              <w:right w:val="single" w:color="auto" w:sz="4" w:space="0"/>
            </w:tcBorders>
            <w:shd w:val="clear" w:color="000000" w:fill="FFFFFF"/>
            <w:noWrap/>
            <w:vAlign w:val="center"/>
          </w:tcPr>
          <w:p>
            <w:pPr>
              <w:ind w:firstLine="220" w:firstLineChars="100"/>
              <w:rPr>
                <w:rFonts w:hint="eastAsia" w:asciiTheme="minorHAnsi" w:hAnsiTheme="minorHAnsi" w:eastAsiaTheme="minorEastAsia" w:cstheme="minorBidi"/>
                <w:kern w:val="2"/>
                <w:sz w:val="22"/>
                <w:szCs w:val="22"/>
                <w:lang w:val="en-US" w:eastAsia="zh-CN" w:bidi="ar-SA"/>
              </w:rPr>
            </w:pPr>
            <w:r>
              <w:rPr>
                <w:rFonts w:hint="eastAsia"/>
                <w:sz w:val="22"/>
                <w:szCs w:val="22"/>
              </w:rPr>
              <w:t>卫生监督机构</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344.61</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313.99</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Theme="minorEastAsia" w:hAnsiTheme="minorEastAsia" w:eastAsiaTheme="minorEastAsia" w:cstheme="minorEastAsia"/>
                <w:kern w:val="0"/>
                <w:sz w:val="21"/>
                <w:szCs w:val="21"/>
                <w:lang w:val="en-US"/>
              </w:rPr>
            </w:pPr>
            <w:r>
              <w:rPr>
                <w:rFonts w:hint="eastAsia" w:asciiTheme="minorEastAsia" w:hAnsiTheme="minorEastAsia" w:cstheme="minorEastAsia"/>
                <w:kern w:val="0"/>
                <w:sz w:val="21"/>
                <w:szCs w:val="21"/>
                <w:lang w:val="en-US" w:eastAsia="zh-CN"/>
              </w:rPr>
              <w:t>30.62</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lang w:val="en-US" w:eastAsia="zh-CN"/>
              </w:rPr>
              <w:t>21011</w:t>
            </w:r>
          </w:p>
        </w:tc>
        <w:tc>
          <w:tcPr>
            <w:tcW w:w="4525" w:type="dxa"/>
            <w:gridSpan w:val="2"/>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2"/>
                <w:szCs w:val="22"/>
                <w:lang w:val="en-US" w:eastAsia="zh-CN" w:bidi="ar-SA"/>
              </w:rPr>
            </w:pPr>
            <w:r>
              <w:rPr>
                <w:rFonts w:hint="eastAsia"/>
                <w:sz w:val="22"/>
                <w:szCs w:val="22"/>
              </w:rPr>
              <w:t>行政事业单位医疗</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14.60</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14.60</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lang w:val="en-US" w:eastAsia="zh-CN"/>
              </w:rPr>
              <w:t>2101102</w:t>
            </w:r>
          </w:p>
        </w:tc>
        <w:tc>
          <w:tcPr>
            <w:tcW w:w="4525" w:type="dxa"/>
            <w:gridSpan w:val="2"/>
            <w:tcBorders>
              <w:top w:val="nil"/>
              <w:left w:val="nil"/>
              <w:bottom w:val="single" w:color="auto" w:sz="4" w:space="0"/>
              <w:right w:val="single" w:color="auto" w:sz="4" w:space="0"/>
            </w:tcBorders>
            <w:shd w:val="clear" w:color="000000" w:fill="FFFFFF"/>
            <w:noWrap/>
            <w:vAlign w:val="center"/>
          </w:tcPr>
          <w:p>
            <w:pPr>
              <w:ind w:firstLine="220" w:firstLineChars="100"/>
              <w:rPr>
                <w:rFonts w:hint="eastAsia" w:ascii="宋体" w:hAnsi="宋体" w:eastAsia="宋体" w:cs="宋体"/>
                <w:kern w:val="2"/>
                <w:sz w:val="22"/>
                <w:szCs w:val="22"/>
                <w:lang w:val="en-US" w:eastAsia="zh-CN" w:bidi="ar-SA"/>
              </w:rPr>
            </w:pPr>
            <w:r>
              <w:rPr>
                <w:rFonts w:hint="eastAsia"/>
                <w:sz w:val="22"/>
                <w:szCs w:val="22"/>
              </w:rPr>
              <w:t>事业单位医疗</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14.60</w:t>
            </w:r>
            <w:r>
              <w:rPr>
                <w:rFonts w:hint="eastAsia" w:asciiTheme="minorEastAsia" w:hAnsiTheme="minorEastAsia" w:eastAsiaTheme="minorEastAsia" w:cstheme="minorEastAsia"/>
                <w:sz w:val="21"/>
                <w:szCs w:val="21"/>
              </w:rPr>
              <w:t>　</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14.60</w:t>
            </w:r>
            <w:r>
              <w:rPr>
                <w:rFonts w:hint="eastAsia" w:asciiTheme="minorEastAsia" w:hAnsiTheme="minorEastAsia" w:eastAsiaTheme="minorEastAsia" w:cstheme="minorEastAsia"/>
                <w:sz w:val="21"/>
                <w:szCs w:val="21"/>
              </w:rPr>
              <w:t>　</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6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02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221</w:t>
            </w:r>
          </w:p>
        </w:tc>
        <w:tc>
          <w:tcPr>
            <w:tcW w:w="4765" w:type="dxa"/>
            <w:gridSpan w:val="3"/>
            <w:tcBorders>
              <w:top w:val="nil"/>
              <w:left w:val="nil"/>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住房保障支出</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25.62</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25.62</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w:t>
            </w:r>
          </w:p>
        </w:tc>
        <w:tc>
          <w:tcPr>
            <w:tcW w:w="136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02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22102</w:t>
            </w:r>
          </w:p>
        </w:tc>
        <w:tc>
          <w:tcPr>
            <w:tcW w:w="4765" w:type="dxa"/>
            <w:gridSpan w:val="3"/>
            <w:tcBorders>
              <w:top w:val="nil"/>
              <w:left w:val="nil"/>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住房改革支出</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25.62</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25.62</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w:t>
            </w:r>
          </w:p>
        </w:tc>
        <w:tc>
          <w:tcPr>
            <w:tcW w:w="136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02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2210201</w:t>
            </w:r>
          </w:p>
        </w:tc>
        <w:tc>
          <w:tcPr>
            <w:tcW w:w="4765" w:type="dxa"/>
            <w:gridSpan w:val="3"/>
            <w:tcBorders>
              <w:top w:val="nil"/>
              <w:left w:val="nil"/>
              <w:bottom w:val="single" w:color="auto" w:sz="4" w:space="0"/>
              <w:right w:val="single" w:color="auto" w:sz="4" w:space="0"/>
            </w:tcBorders>
            <w:shd w:val="clear" w:color="000000" w:fill="FFFFFF"/>
            <w:noWrap/>
            <w:vAlign w:val="center"/>
          </w:tcPr>
          <w:p>
            <w:pPr>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住房公积金</w:t>
            </w:r>
          </w:p>
        </w:tc>
        <w:tc>
          <w:tcPr>
            <w:tcW w:w="1733"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25.62　</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25.62　</w:t>
            </w:r>
          </w:p>
        </w:tc>
        <w:tc>
          <w:tcPr>
            <w:tcW w:w="150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w:t>
            </w:r>
          </w:p>
        </w:tc>
        <w:tc>
          <w:tcPr>
            <w:tcW w:w="136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w:t>
            </w:r>
          </w:p>
        </w:tc>
        <w:tc>
          <w:tcPr>
            <w:tcW w:w="1316"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w:t>
            </w:r>
          </w:p>
        </w:tc>
        <w:tc>
          <w:tcPr>
            <w:tcW w:w="151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w:t>
            </w:r>
          </w:p>
        </w:tc>
      </w:tr>
      <w:tr>
        <w:tblPrEx>
          <w:tblCellMar>
            <w:top w:w="0" w:type="dxa"/>
            <w:left w:w="108" w:type="dxa"/>
            <w:bottom w:w="0" w:type="dxa"/>
            <w:right w:w="108" w:type="dxa"/>
          </w:tblCellMar>
        </w:tblPrEx>
        <w:trPr>
          <w:trHeight w:val="374" w:hRule="atLeast"/>
          <w:jc w:val="center"/>
        </w:trPr>
        <w:tc>
          <w:tcPr>
            <w:tcW w:w="14739" w:type="dxa"/>
            <w:gridSpan w:val="16"/>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jc w:val="both"/>
        <w:rPr>
          <w:rFonts w:ascii="Times New Roman" w:hAnsi="Times New Roman" w:eastAsia="方正小标宋_GBK" w:cs="Times New Roman"/>
          <w:color w:val="000000"/>
          <w:kern w:val="0"/>
          <w:sz w:val="36"/>
          <w:szCs w:val="21"/>
        </w:rPr>
      </w:pPr>
    </w:p>
    <w:tbl>
      <w:tblPr>
        <w:tblStyle w:val="5"/>
        <w:tblW w:w="15521" w:type="dxa"/>
        <w:tblInd w:w="91" w:type="dxa"/>
        <w:tblLayout w:type="fixed"/>
        <w:tblCellMar>
          <w:top w:w="0" w:type="dxa"/>
          <w:left w:w="108" w:type="dxa"/>
          <w:bottom w:w="0" w:type="dxa"/>
          <w:right w:w="108" w:type="dxa"/>
        </w:tblCellMar>
      </w:tblPr>
      <w:tblGrid>
        <w:gridCol w:w="4132"/>
        <w:gridCol w:w="567"/>
        <w:gridCol w:w="906"/>
        <w:gridCol w:w="160"/>
        <w:gridCol w:w="275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4132"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567"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90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3"/>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41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6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66"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8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4132"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湘乡市卫生计生综合监督执法局</w:t>
            </w:r>
          </w:p>
        </w:tc>
        <w:tc>
          <w:tcPr>
            <w:tcW w:w="56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66"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8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76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75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2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419.15</w:t>
            </w: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lang w:val="en-US" w:eastAsia="zh-CN"/>
              </w:rPr>
              <w:t>七、社会保障和就业支出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31.43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31.43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2"/>
              </w:rPr>
            </w:pPr>
            <w:r>
              <w:rPr>
                <w:rFonts w:hint="eastAsia" w:ascii="宋体" w:hAnsi="宋体" w:eastAsia="宋体" w:cs="宋体"/>
                <w:kern w:val="0"/>
                <w:sz w:val="22"/>
                <w:lang w:eastAsia="zh-CN"/>
              </w:rPr>
              <w:t>八、</w:t>
            </w:r>
            <w:r>
              <w:rPr>
                <w:rFonts w:hint="eastAsia" w:ascii="宋体" w:hAnsi="宋体" w:eastAsia="宋体" w:cs="宋体"/>
                <w:kern w:val="0"/>
                <w:sz w:val="22"/>
              </w:rPr>
              <w:t>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362.10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362.10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9</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275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lang w:val="en-US" w:eastAsia="zh-CN"/>
              </w:rPr>
              <w:t>九、住房保障支出</w:t>
            </w: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25.62</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25.62</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10</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419.15</w:t>
            </w: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419.15</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419.15</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11</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12</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13</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14</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97" w:hRule="atLeast"/>
        </w:trPr>
        <w:tc>
          <w:tcPr>
            <w:tcW w:w="4132"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56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419.15</w:t>
            </w:r>
            <w:r>
              <w:rPr>
                <w:rFonts w:hint="eastAsia" w:ascii="宋体" w:hAnsi="宋体" w:eastAsia="宋体" w:cs="宋体"/>
                <w:kern w:val="0"/>
                <w:sz w:val="22"/>
              </w:rPr>
              <w:t>　</w:t>
            </w:r>
          </w:p>
        </w:tc>
        <w:tc>
          <w:tcPr>
            <w:tcW w:w="275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right"/>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419.15</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419.15</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7"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both"/>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eastAsia="zh-CN"/>
        </w:rPr>
        <w:t>部门：湘乡市卫生计生综合监督执法局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5"/>
        <w:tblW w:w="14219" w:type="dxa"/>
        <w:jc w:val="center"/>
        <w:tblLayout w:type="autofit"/>
        <w:tblCellMar>
          <w:top w:w="0" w:type="dxa"/>
          <w:left w:w="108" w:type="dxa"/>
          <w:bottom w:w="0" w:type="dxa"/>
          <w:right w:w="108" w:type="dxa"/>
        </w:tblCellMar>
      </w:tblPr>
      <w:tblGrid>
        <w:gridCol w:w="1200"/>
        <w:gridCol w:w="4033"/>
        <w:gridCol w:w="2494"/>
        <w:gridCol w:w="3492"/>
        <w:gridCol w:w="3000"/>
      </w:tblGrid>
      <w:tr>
        <w:tblPrEx>
          <w:tblCellMar>
            <w:top w:w="0" w:type="dxa"/>
            <w:left w:w="108" w:type="dxa"/>
            <w:bottom w:w="0" w:type="dxa"/>
            <w:right w:w="108" w:type="dxa"/>
          </w:tblCellMar>
        </w:tblPrEx>
        <w:trPr>
          <w:trHeight w:val="405" w:hRule="atLeast"/>
          <w:jc w:val="center"/>
        </w:trPr>
        <w:tc>
          <w:tcPr>
            <w:tcW w:w="5233"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986"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312" w:hRule="exac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03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49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033"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49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033"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49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523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49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340" w:hRule="atLeast"/>
          <w:jc w:val="center"/>
        </w:trPr>
        <w:tc>
          <w:tcPr>
            <w:tcW w:w="523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494" w:type="dxa"/>
            <w:tcBorders>
              <w:top w:val="nil"/>
              <w:left w:val="nil"/>
              <w:bottom w:val="single" w:color="auto" w:sz="4" w:space="0"/>
              <w:right w:val="single" w:color="auto" w:sz="4" w:space="0"/>
            </w:tcBorders>
            <w:shd w:val="clear" w:color="auto" w:fill="auto"/>
            <w:vAlign w:val="center"/>
          </w:tcPr>
          <w:p>
            <w:pPr>
              <w:widowControl/>
              <w:jc w:val="right"/>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　</w:t>
            </w:r>
            <w:r>
              <w:rPr>
                <w:rFonts w:hint="eastAsia" w:asciiTheme="minorEastAsia" w:hAnsiTheme="minorEastAsia" w:eastAsiaTheme="minorEastAsia" w:cstheme="minorEastAsia"/>
                <w:kern w:val="0"/>
                <w:szCs w:val="21"/>
                <w:lang w:val="en-US" w:eastAsia="zh-CN"/>
              </w:rPr>
              <w:t>419.15</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　</w:t>
            </w:r>
            <w:r>
              <w:rPr>
                <w:rFonts w:hint="eastAsia" w:asciiTheme="minorEastAsia" w:hAnsiTheme="minorEastAsia" w:eastAsiaTheme="minorEastAsia" w:cstheme="minorEastAsia"/>
                <w:kern w:val="0"/>
                <w:szCs w:val="21"/>
                <w:lang w:val="en-US" w:eastAsia="zh-CN"/>
              </w:rPr>
              <w:t>388.53</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　</w:t>
            </w:r>
            <w:r>
              <w:rPr>
                <w:rFonts w:hint="eastAsia" w:asciiTheme="minorEastAsia" w:hAnsiTheme="minorEastAsia" w:eastAsiaTheme="minorEastAsia" w:cstheme="minorEastAsia"/>
                <w:kern w:val="0"/>
                <w:szCs w:val="21"/>
                <w:lang w:val="en-US" w:eastAsia="zh-CN"/>
              </w:rPr>
              <w:t>30.62</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208</w:t>
            </w:r>
          </w:p>
        </w:tc>
        <w:tc>
          <w:tcPr>
            <w:tcW w:w="4033"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社会保障和就业支出</w:t>
            </w:r>
          </w:p>
        </w:tc>
        <w:tc>
          <w:tcPr>
            <w:tcW w:w="2494" w:type="dxa"/>
            <w:tcBorders>
              <w:top w:val="nil"/>
              <w:left w:val="nil"/>
              <w:bottom w:val="single" w:color="auto" w:sz="4"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31.43</w:t>
            </w:r>
            <w:r>
              <w:rPr>
                <w:rFonts w:hint="eastAsia" w:asciiTheme="minorEastAsia" w:hAnsiTheme="minorEastAsia" w:eastAsiaTheme="minorEastAsia" w:cstheme="minorEastAsia"/>
                <w:sz w:val="21"/>
                <w:szCs w:val="21"/>
              </w:rPr>
              <w:t>　</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31.43</w:t>
            </w:r>
            <w:r>
              <w:rPr>
                <w:rFonts w:hint="eastAsia" w:asciiTheme="minorEastAsia" w:hAnsiTheme="minorEastAsia" w:eastAsiaTheme="minorEastAsia" w:cstheme="minorEastAsia"/>
                <w:sz w:val="21"/>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20805</w:t>
            </w:r>
          </w:p>
        </w:tc>
        <w:tc>
          <w:tcPr>
            <w:tcW w:w="4033"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行政事业单位养老支出</w:t>
            </w:r>
          </w:p>
        </w:tc>
        <w:tc>
          <w:tcPr>
            <w:tcW w:w="2494" w:type="dxa"/>
            <w:tcBorders>
              <w:top w:val="nil"/>
              <w:left w:val="nil"/>
              <w:bottom w:val="single" w:color="auto" w:sz="4"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27.55</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27.55</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2080502</w:t>
            </w:r>
          </w:p>
        </w:tc>
        <w:tc>
          <w:tcPr>
            <w:tcW w:w="4033"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 xml:space="preserve">  事业单位离退休</w:t>
            </w:r>
          </w:p>
        </w:tc>
        <w:tc>
          <w:tcPr>
            <w:tcW w:w="2494" w:type="dxa"/>
            <w:tcBorders>
              <w:top w:val="nil"/>
              <w:left w:val="nil"/>
              <w:bottom w:val="single" w:color="auto" w:sz="4"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0.08</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0.08</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2080505</w:t>
            </w:r>
          </w:p>
        </w:tc>
        <w:tc>
          <w:tcPr>
            <w:tcW w:w="4033"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　机关事业单位基本养老保险缴费支出</w:t>
            </w:r>
          </w:p>
        </w:tc>
        <w:tc>
          <w:tcPr>
            <w:tcW w:w="2494" w:type="dxa"/>
            <w:tcBorders>
              <w:top w:val="nil"/>
              <w:left w:val="nil"/>
              <w:bottom w:val="single" w:color="auto" w:sz="4"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27.47</w:t>
            </w:r>
            <w:r>
              <w:rPr>
                <w:rFonts w:hint="eastAsia" w:asciiTheme="minorEastAsia" w:hAnsiTheme="minorEastAsia" w:eastAsiaTheme="minorEastAsia" w:cstheme="minorEastAsia"/>
                <w:sz w:val="21"/>
                <w:szCs w:val="21"/>
              </w:rPr>
              <w:t>　</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27.47</w:t>
            </w:r>
            <w:r>
              <w:rPr>
                <w:rFonts w:hint="eastAsia" w:asciiTheme="minorEastAsia" w:hAnsiTheme="minorEastAsia" w:eastAsiaTheme="minorEastAsia" w:cstheme="minorEastAsia"/>
                <w:sz w:val="21"/>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20899</w:t>
            </w:r>
          </w:p>
        </w:tc>
        <w:tc>
          <w:tcPr>
            <w:tcW w:w="4033"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其他社会保障和就业支出</w:t>
            </w:r>
          </w:p>
        </w:tc>
        <w:tc>
          <w:tcPr>
            <w:tcW w:w="2494" w:type="dxa"/>
            <w:tcBorders>
              <w:top w:val="nil"/>
              <w:left w:val="nil"/>
              <w:bottom w:val="single" w:color="auto" w:sz="4"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highlight w:val="none"/>
                <w:lang w:val="en-US" w:eastAsia="zh-CN"/>
              </w:rPr>
              <w:t>3.88</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highlight w:val="none"/>
                <w:lang w:val="en-US" w:eastAsia="zh-CN"/>
              </w:rPr>
              <w:t>3.88</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2089999</w:t>
            </w:r>
          </w:p>
        </w:tc>
        <w:tc>
          <w:tcPr>
            <w:tcW w:w="4033" w:type="dxa"/>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 xml:space="preserve">  其他社会保障和就业支出</w:t>
            </w:r>
          </w:p>
        </w:tc>
        <w:tc>
          <w:tcPr>
            <w:tcW w:w="2494"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3.88</w:t>
            </w:r>
          </w:p>
        </w:tc>
        <w:tc>
          <w:tcPr>
            <w:tcW w:w="3492"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3.88</w:t>
            </w: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210</w:t>
            </w:r>
          </w:p>
        </w:tc>
        <w:tc>
          <w:tcPr>
            <w:tcW w:w="4033" w:type="dxa"/>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卫生健康支出</w:t>
            </w:r>
          </w:p>
        </w:tc>
        <w:tc>
          <w:tcPr>
            <w:tcW w:w="2494"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highlight w:val="none"/>
                <w:lang w:val="en-US" w:eastAsia="zh-CN"/>
              </w:rPr>
              <w:t>362.10</w:t>
            </w:r>
          </w:p>
        </w:tc>
        <w:tc>
          <w:tcPr>
            <w:tcW w:w="3492"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highlight w:val="none"/>
                <w:lang w:val="en-US" w:eastAsia="zh-CN"/>
              </w:rPr>
              <w:t>331.48</w:t>
            </w: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hint="default" w:asciiTheme="minorEastAsia" w:hAnsiTheme="minorEastAsia" w:eastAsiaTheme="minorEastAsia" w:cstheme="minorEastAsia"/>
                <w:kern w:val="0"/>
                <w:sz w:val="21"/>
                <w:szCs w:val="21"/>
                <w:lang w:val="en-US" w:eastAsia="zh-CN" w:bidi="ar-SA"/>
              </w:rPr>
            </w:pPr>
            <w:r>
              <w:rPr>
                <w:rFonts w:hint="eastAsia" w:asciiTheme="minorEastAsia" w:hAnsiTheme="minorEastAsia" w:cstheme="minorEastAsia"/>
                <w:kern w:val="0"/>
                <w:sz w:val="21"/>
                <w:szCs w:val="21"/>
                <w:lang w:val="en-US" w:eastAsia="zh-CN"/>
              </w:rPr>
              <w:t>30.62</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21001</w:t>
            </w:r>
          </w:p>
        </w:tc>
        <w:tc>
          <w:tcPr>
            <w:tcW w:w="4033" w:type="dxa"/>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卫生健康管理事务</w:t>
            </w:r>
          </w:p>
        </w:tc>
        <w:tc>
          <w:tcPr>
            <w:tcW w:w="2494"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2.89</w:t>
            </w:r>
            <w:r>
              <w:rPr>
                <w:rFonts w:hint="eastAsia" w:asciiTheme="minorEastAsia" w:hAnsiTheme="minorEastAsia" w:eastAsiaTheme="minorEastAsia" w:cstheme="minorEastAsia"/>
                <w:sz w:val="21"/>
                <w:szCs w:val="21"/>
              </w:rPr>
              <w:t>　</w:t>
            </w:r>
          </w:p>
        </w:tc>
        <w:tc>
          <w:tcPr>
            <w:tcW w:w="3492"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2.89</w:t>
            </w:r>
            <w:r>
              <w:rPr>
                <w:rFonts w:hint="eastAsia" w:asciiTheme="minorEastAsia" w:hAnsiTheme="minorEastAsia" w:eastAsiaTheme="minorEastAsia" w:cstheme="minorEastAsia"/>
                <w:sz w:val="21"/>
                <w:szCs w:val="21"/>
              </w:rPr>
              <w:t>　</w:t>
            </w: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2100101</w:t>
            </w:r>
          </w:p>
        </w:tc>
        <w:tc>
          <w:tcPr>
            <w:tcW w:w="4033" w:type="dxa"/>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 xml:space="preserve">  行政运行</w:t>
            </w:r>
          </w:p>
        </w:tc>
        <w:tc>
          <w:tcPr>
            <w:tcW w:w="2494"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2.89</w:t>
            </w:r>
          </w:p>
        </w:tc>
        <w:tc>
          <w:tcPr>
            <w:tcW w:w="3492"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2.89</w:t>
            </w: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21004</w:t>
            </w:r>
          </w:p>
        </w:tc>
        <w:tc>
          <w:tcPr>
            <w:tcW w:w="4033" w:type="dxa"/>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公共卫生</w:t>
            </w:r>
          </w:p>
        </w:tc>
        <w:tc>
          <w:tcPr>
            <w:tcW w:w="2494"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344.61</w:t>
            </w:r>
            <w:r>
              <w:rPr>
                <w:rFonts w:hint="eastAsia" w:asciiTheme="minorEastAsia" w:hAnsiTheme="minorEastAsia" w:eastAsiaTheme="minorEastAsia" w:cstheme="minorEastAsia"/>
                <w:sz w:val="21"/>
                <w:szCs w:val="21"/>
              </w:rPr>
              <w:t>　</w:t>
            </w:r>
          </w:p>
        </w:tc>
        <w:tc>
          <w:tcPr>
            <w:tcW w:w="3492"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313.99</w:t>
            </w:r>
            <w:r>
              <w:rPr>
                <w:rFonts w:hint="eastAsia" w:asciiTheme="minorEastAsia" w:hAnsiTheme="minorEastAsia" w:eastAsiaTheme="minorEastAsia" w:cstheme="minorEastAsia"/>
                <w:sz w:val="21"/>
                <w:szCs w:val="21"/>
              </w:rPr>
              <w:t>　</w:t>
            </w: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hint="default" w:asciiTheme="minorEastAsia" w:hAnsiTheme="minorEastAsia" w:eastAsiaTheme="minorEastAsia" w:cstheme="minorEastAsia"/>
                <w:kern w:val="0"/>
                <w:sz w:val="21"/>
                <w:szCs w:val="21"/>
                <w:lang w:val="en-US" w:eastAsia="zh-CN" w:bidi="ar-SA"/>
              </w:rPr>
            </w:pPr>
            <w:r>
              <w:rPr>
                <w:rFonts w:hint="eastAsia" w:asciiTheme="minorEastAsia" w:hAnsiTheme="minorEastAsia" w:cstheme="minorEastAsia"/>
                <w:kern w:val="0"/>
                <w:sz w:val="21"/>
                <w:szCs w:val="21"/>
                <w:lang w:val="en-US" w:eastAsia="zh-CN"/>
              </w:rPr>
              <w:t>30.62</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2100402</w:t>
            </w:r>
          </w:p>
        </w:tc>
        <w:tc>
          <w:tcPr>
            <w:tcW w:w="4033" w:type="dxa"/>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卫生监督机构</w:t>
            </w:r>
          </w:p>
        </w:tc>
        <w:tc>
          <w:tcPr>
            <w:tcW w:w="2494"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344.61</w:t>
            </w:r>
          </w:p>
        </w:tc>
        <w:tc>
          <w:tcPr>
            <w:tcW w:w="3492"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313.99</w:t>
            </w: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hint="default" w:asciiTheme="minorEastAsia" w:hAnsiTheme="minorEastAsia" w:eastAsiaTheme="minorEastAsia" w:cstheme="minorEastAsia"/>
                <w:kern w:val="0"/>
                <w:sz w:val="21"/>
                <w:szCs w:val="21"/>
                <w:lang w:val="en-US" w:eastAsia="zh-CN" w:bidi="ar-SA"/>
              </w:rPr>
            </w:pPr>
            <w:r>
              <w:rPr>
                <w:rFonts w:hint="eastAsia" w:asciiTheme="minorEastAsia" w:hAnsiTheme="minorEastAsia" w:cstheme="minorEastAsia"/>
                <w:kern w:val="0"/>
                <w:sz w:val="21"/>
                <w:szCs w:val="21"/>
                <w:lang w:val="en-US" w:eastAsia="zh-CN"/>
              </w:rPr>
              <w:t>30.62</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21011</w:t>
            </w:r>
          </w:p>
        </w:tc>
        <w:tc>
          <w:tcPr>
            <w:tcW w:w="4033" w:type="dxa"/>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行政事业单位医疗</w:t>
            </w:r>
          </w:p>
        </w:tc>
        <w:tc>
          <w:tcPr>
            <w:tcW w:w="2494"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14.60</w:t>
            </w:r>
          </w:p>
        </w:tc>
        <w:tc>
          <w:tcPr>
            <w:tcW w:w="3492"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14.60</w:t>
            </w: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2101102</w:t>
            </w:r>
          </w:p>
        </w:tc>
        <w:tc>
          <w:tcPr>
            <w:tcW w:w="4033" w:type="dxa"/>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事业单位医疗</w:t>
            </w:r>
          </w:p>
        </w:tc>
        <w:tc>
          <w:tcPr>
            <w:tcW w:w="2494"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14.60</w:t>
            </w:r>
            <w:r>
              <w:rPr>
                <w:rFonts w:hint="eastAsia" w:asciiTheme="minorEastAsia" w:hAnsiTheme="minorEastAsia" w:eastAsiaTheme="minorEastAsia" w:cstheme="minorEastAsia"/>
                <w:sz w:val="21"/>
                <w:szCs w:val="21"/>
              </w:rPr>
              <w:t>　</w:t>
            </w:r>
          </w:p>
        </w:tc>
        <w:tc>
          <w:tcPr>
            <w:tcW w:w="3492"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sz w:val="21"/>
                <w:szCs w:val="21"/>
                <w:lang w:val="en-US" w:eastAsia="zh-CN"/>
              </w:rPr>
              <w:t>14.60</w:t>
            </w:r>
            <w:r>
              <w:rPr>
                <w:rFonts w:hint="eastAsia" w:asciiTheme="minorEastAsia" w:hAnsiTheme="minorEastAsia" w:eastAsiaTheme="minorEastAsia" w:cstheme="minorEastAsia"/>
                <w:sz w:val="21"/>
                <w:szCs w:val="21"/>
              </w:rPr>
              <w:t>　</w:t>
            </w: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0.00</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221</w:t>
            </w:r>
          </w:p>
        </w:tc>
        <w:tc>
          <w:tcPr>
            <w:tcW w:w="4033" w:type="dxa"/>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住房保障支出</w:t>
            </w:r>
          </w:p>
        </w:tc>
        <w:tc>
          <w:tcPr>
            <w:tcW w:w="2494"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25.62</w:t>
            </w:r>
          </w:p>
        </w:tc>
        <w:tc>
          <w:tcPr>
            <w:tcW w:w="3492"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25.62</w:t>
            </w:r>
          </w:p>
        </w:tc>
        <w:tc>
          <w:tcPr>
            <w:tcW w:w="3000" w:type="dxa"/>
            <w:tcBorders>
              <w:top w:val="nil"/>
              <w:left w:val="nil"/>
              <w:bottom w:val="single" w:color="auto" w:sz="8" w:space="0"/>
              <w:right w:val="single" w:color="auto" w:sz="8" w:space="0"/>
            </w:tcBorders>
            <w:shd w:val="clear" w:color="auto" w:fill="auto"/>
            <w:vAlign w:val="center"/>
          </w:tcPr>
          <w:p>
            <w:pPr>
              <w:jc w:val="righ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0.00</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22102</w:t>
            </w:r>
          </w:p>
        </w:tc>
        <w:tc>
          <w:tcPr>
            <w:tcW w:w="4033" w:type="dxa"/>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eastAsia="zh-CN"/>
              </w:rPr>
              <w:t>住房改革支出</w:t>
            </w:r>
          </w:p>
        </w:tc>
        <w:tc>
          <w:tcPr>
            <w:tcW w:w="2494"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25.62</w:t>
            </w:r>
          </w:p>
        </w:tc>
        <w:tc>
          <w:tcPr>
            <w:tcW w:w="3492"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25.62</w:t>
            </w:r>
          </w:p>
        </w:tc>
        <w:tc>
          <w:tcPr>
            <w:tcW w:w="3000" w:type="dxa"/>
            <w:tcBorders>
              <w:top w:val="nil"/>
              <w:left w:val="nil"/>
              <w:bottom w:val="single" w:color="auto" w:sz="8" w:space="0"/>
              <w:right w:val="single" w:color="auto" w:sz="8" w:space="0"/>
            </w:tcBorders>
            <w:shd w:val="clear" w:color="auto" w:fill="auto"/>
            <w:vAlign w:val="center"/>
          </w:tcPr>
          <w:p>
            <w:pPr>
              <w:jc w:val="righ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0.00</w:t>
            </w:r>
          </w:p>
        </w:tc>
      </w:tr>
      <w:tr>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2210201</w:t>
            </w:r>
          </w:p>
        </w:tc>
        <w:tc>
          <w:tcPr>
            <w:tcW w:w="4033" w:type="dxa"/>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2"/>
                <w:szCs w:val="22"/>
                <w:lang w:eastAsia="zh-CN"/>
              </w:rPr>
            </w:pPr>
            <w:r>
              <w:rPr>
                <w:rFonts w:hint="eastAsia" w:asciiTheme="minorEastAsia" w:hAnsiTheme="minorEastAsia" w:eastAsiaTheme="minorEastAsia" w:cstheme="minorEastAsia"/>
                <w:kern w:val="0"/>
                <w:sz w:val="22"/>
                <w:szCs w:val="22"/>
                <w:lang w:eastAsia="zh-CN"/>
              </w:rPr>
              <w:t>住房公积金</w:t>
            </w:r>
          </w:p>
        </w:tc>
        <w:tc>
          <w:tcPr>
            <w:tcW w:w="2494"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25.62　</w:t>
            </w:r>
          </w:p>
        </w:tc>
        <w:tc>
          <w:tcPr>
            <w:tcW w:w="3492" w:type="dxa"/>
            <w:tcBorders>
              <w:top w:val="nil"/>
              <w:left w:val="nil"/>
              <w:bottom w:val="single" w:color="auto" w:sz="8" w:space="0"/>
              <w:right w:val="single" w:color="auto" w:sz="4" w:space="0"/>
            </w:tcBorders>
            <w:shd w:val="clear" w:color="auto" w:fill="auto"/>
            <w:vAlign w:val="center"/>
          </w:tcPr>
          <w:p>
            <w:pPr>
              <w:jc w:val="righ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25.62　</w:t>
            </w:r>
          </w:p>
        </w:tc>
        <w:tc>
          <w:tcPr>
            <w:tcW w:w="3000" w:type="dxa"/>
            <w:tcBorders>
              <w:top w:val="nil"/>
              <w:left w:val="nil"/>
              <w:bottom w:val="single" w:color="auto" w:sz="8" w:space="0"/>
              <w:right w:val="single" w:color="auto" w:sz="8" w:space="0"/>
            </w:tcBorders>
            <w:shd w:val="clear" w:color="auto" w:fill="auto"/>
            <w:vAlign w:val="center"/>
          </w:tcPr>
          <w:p>
            <w:pPr>
              <w:jc w:val="righ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0.00</w:t>
            </w:r>
          </w:p>
        </w:tc>
      </w:tr>
      <w:tr>
        <w:tblPrEx>
          <w:tblCellMar>
            <w:top w:w="0" w:type="dxa"/>
            <w:left w:w="108" w:type="dxa"/>
            <w:bottom w:w="0" w:type="dxa"/>
            <w:right w:w="108" w:type="dxa"/>
          </w:tblCellMar>
        </w:tblPrEx>
        <w:trPr>
          <w:trHeight w:val="340"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p>
    <w:tbl>
      <w:tblPr>
        <w:tblStyle w:val="5"/>
        <w:tblW w:w="15651" w:type="dxa"/>
        <w:tblInd w:w="0" w:type="dxa"/>
        <w:tblLayout w:type="fixed"/>
        <w:tblCellMar>
          <w:top w:w="0" w:type="dxa"/>
          <w:left w:w="108" w:type="dxa"/>
          <w:bottom w:w="0" w:type="dxa"/>
          <w:right w:w="108" w:type="dxa"/>
        </w:tblCellMar>
      </w:tblPr>
      <w:tblGrid>
        <w:gridCol w:w="1296"/>
        <w:gridCol w:w="3251"/>
        <w:gridCol w:w="947"/>
        <w:gridCol w:w="1136"/>
        <w:gridCol w:w="2416"/>
        <w:gridCol w:w="990"/>
        <w:gridCol w:w="1155"/>
        <w:gridCol w:w="3570"/>
        <w:gridCol w:w="890"/>
      </w:tblGrid>
      <w:tr>
        <w:tblPrEx>
          <w:tblCellMar>
            <w:top w:w="0" w:type="dxa"/>
            <w:left w:w="108" w:type="dxa"/>
            <w:bottom w:w="0" w:type="dxa"/>
            <w:right w:w="108" w:type="dxa"/>
          </w:tblCellMar>
        </w:tblPrEx>
        <w:trPr>
          <w:trHeight w:val="113" w:hRule="atLeast"/>
        </w:trPr>
        <w:tc>
          <w:tcPr>
            <w:tcW w:w="15651"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jc w:val="lef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公开06表</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湘乡市卫生计生综合监督执法局</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584" w:hRule="atLeast"/>
        </w:trPr>
        <w:tc>
          <w:tcPr>
            <w:tcW w:w="12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2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4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4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57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305.911</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80.48</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105.19</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2.76</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6.69</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33.37</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rPr>
            </w:pPr>
            <w:r>
              <w:rPr>
                <w:rFonts w:hint="eastAsia" w:ascii="宋体" w:hAnsi="宋体" w:eastAsia="宋体" w:cs="宋体"/>
                <w:color w:val="000000"/>
                <w:kern w:val="0"/>
                <w:szCs w:val="20"/>
                <w:lang w:val="en-US" w:eastAsia="zh-CN"/>
              </w:rPr>
              <w:t>0.68</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65.01</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0.78</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0.68</w:t>
            </w: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0.68</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29.94</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3.69</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1.26</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22.34</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3.56</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2.32</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0.98</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34.71</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0.60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6.34</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1.46</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0.18</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1.46</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0.14</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0.36</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15.56</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19.23</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6.18</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8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12.03</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2" w:hRule="exact"/>
        </w:trPr>
        <w:tc>
          <w:tcPr>
            <w:tcW w:w="12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2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9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13.17</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2" w:hRule="exact"/>
        </w:trPr>
        <w:tc>
          <w:tcPr>
            <w:tcW w:w="454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307.37</w:t>
            </w:r>
          </w:p>
        </w:tc>
        <w:tc>
          <w:tcPr>
            <w:tcW w:w="9267"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89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lang w:val="en-US" w:eastAsia="zh-CN"/>
              </w:rPr>
              <w:t>81.16</w:t>
            </w:r>
          </w:p>
        </w:tc>
      </w:tr>
      <w:tr>
        <w:tblPrEx>
          <w:tblCellMar>
            <w:top w:w="0" w:type="dxa"/>
            <w:left w:w="108" w:type="dxa"/>
            <w:bottom w:w="0" w:type="dxa"/>
            <w:right w:w="108" w:type="dxa"/>
          </w:tblCellMar>
        </w:tblPrEx>
        <w:trPr>
          <w:trHeight w:val="272" w:hRule="exact"/>
        </w:trPr>
        <w:tc>
          <w:tcPr>
            <w:tcW w:w="15651"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firstLine="420" w:firstLineChars="2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firstLine="420" w:firstLineChars="200"/>
        <w:jc w:val="both"/>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湘乡市卫生计生综合监督执法局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单位：万元</w:t>
      </w:r>
    </w:p>
    <w:tbl>
      <w:tblPr>
        <w:tblStyle w:val="5"/>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18.00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9.60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9.60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8.40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6.40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6.18</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nil"/>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6.18</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0.22</w:t>
            </w:r>
          </w:p>
        </w:tc>
      </w:tr>
    </w:tbl>
    <w:p>
      <w:pPr>
        <w:widowControl/>
        <w:ind w:left="239" w:leftChars="114" w:firstLine="0" w:firstLineChars="0"/>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ind w:firstLine="420" w:firstLineChars="2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公开08表</w:t>
      </w:r>
    </w:p>
    <w:p>
      <w:pPr>
        <w:widowControl/>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     部门：湘乡市卫生计生综合监督执法局                                                                                             </w:t>
      </w:r>
      <w:r>
        <w:rPr>
          <w:rFonts w:ascii="Times New Roman" w:hAnsi="Times New Roman" w:eastAsia="仿宋_GB2312" w:cs="Times New Roman"/>
          <w:color w:val="000000"/>
          <w:kern w:val="0"/>
          <w:szCs w:val="21"/>
        </w:rPr>
        <w:t>单位：万元</w:t>
      </w:r>
      <w:r>
        <w:rPr>
          <w:rFonts w:hint="eastAsia" w:ascii="Times New Roman" w:hAnsi="Times New Roman" w:eastAsia="仿宋_GB2312" w:cs="Times New Roman"/>
          <w:color w:val="000000"/>
          <w:kern w:val="0"/>
          <w:szCs w:val="21"/>
          <w:lang w:val="en-US" w:eastAsia="zh-CN"/>
        </w:rPr>
        <w:t xml:space="preserve">                     </w:t>
      </w:r>
    </w:p>
    <w:tbl>
      <w:tblPr>
        <w:tblStyle w:val="5"/>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eastAsia="zh-CN"/>
              </w:rPr>
              <w:t>此表无数据</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ind w:firstLine="420" w:firstLineChars="20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ind w:firstLine="420" w:firstLineChars="20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5"/>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湘乡市卫生计生综合监督执法局</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kern w:val="0"/>
                <w:sz w:val="20"/>
                <w:szCs w:val="20"/>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 xml:space="preserve">       此表无数据</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9"/>
        <w:rPr>
          <w:sz w:val="72"/>
          <w:szCs w:val="72"/>
        </w:rPr>
        <w:sectPr>
          <w:pgSz w:w="16838" w:h="11906" w:orient="landscape"/>
          <w:pgMar w:top="720" w:right="720" w:bottom="720" w:left="720" w:header="851" w:footer="992" w:gutter="0"/>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pStyle w:val="9"/>
        <w:ind w:firstLine="640"/>
        <w:jc w:val="both"/>
        <w:rPr>
          <w:rFonts w:hint="eastAsia" w:asciiTheme="minorEastAsia" w:hAnsiTheme="minorEastAsia" w:eastAsiaTheme="minorEastAsia"/>
          <w:sz w:val="32"/>
          <w:szCs w:val="32"/>
          <w:highlight w:val="yellow"/>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年度收</w:t>
      </w:r>
      <w:r>
        <w:rPr>
          <w:rFonts w:hint="eastAsia" w:asciiTheme="minorEastAsia" w:hAnsiTheme="minorEastAsia" w:eastAsiaTheme="minorEastAsia"/>
          <w:sz w:val="32"/>
          <w:szCs w:val="32"/>
          <w:lang w:eastAsia="zh-CN"/>
        </w:rPr>
        <w:t>、支</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419.15</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184.97万元，</w:t>
      </w:r>
      <w:r>
        <w:rPr>
          <w:rFonts w:hint="eastAsia" w:asciiTheme="minorEastAsia" w:hAnsiTheme="minorEastAsia" w:eastAsiaTheme="minorEastAsia"/>
          <w:sz w:val="32"/>
          <w:szCs w:val="32"/>
        </w:rPr>
        <w:t>减少</w:t>
      </w:r>
      <w:r>
        <w:rPr>
          <w:rFonts w:hint="eastAsia" w:asciiTheme="minorEastAsia" w:hAnsiTheme="minorEastAsia" w:eastAsiaTheme="minorEastAsia"/>
          <w:sz w:val="32"/>
          <w:szCs w:val="32"/>
          <w:lang w:val="en-US" w:eastAsia="zh-CN"/>
        </w:rPr>
        <w:t>30.62</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年初</w:t>
      </w:r>
      <w:r>
        <w:rPr>
          <w:rFonts w:hint="eastAsia" w:asciiTheme="minorEastAsia" w:hAnsiTheme="minorEastAsia" w:eastAsiaTheme="minorEastAsia"/>
          <w:sz w:val="32"/>
          <w:szCs w:val="32"/>
        </w:rPr>
        <w:t>财政拨款结转结余</w:t>
      </w:r>
      <w:r>
        <w:rPr>
          <w:rFonts w:hint="eastAsia" w:asciiTheme="minorEastAsia" w:hAnsiTheme="minorEastAsia" w:eastAsiaTheme="minorEastAsia"/>
          <w:sz w:val="32"/>
          <w:szCs w:val="32"/>
          <w:lang w:eastAsia="zh-CN"/>
        </w:rPr>
        <w:t>资金减少、认</w:t>
      </w:r>
      <w:r>
        <w:rPr>
          <w:rFonts w:hint="eastAsia" w:asciiTheme="minorEastAsia" w:hAnsiTheme="minorEastAsia" w:eastAsiaTheme="minorEastAsia"/>
          <w:sz w:val="32"/>
          <w:szCs w:val="32"/>
        </w:rPr>
        <w:t>真贯彻落实中央</w:t>
      </w:r>
      <w:r>
        <w:rPr>
          <w:rFonts w:hint="default" w:asciiTheme="minorEastAsia" w:hAnsiTheme="minorEastAsia" w:eastAsiaTheme="minorEastAsia"/>
          <w:sz w:val="32"/>
          <w:szCs w:val="32"/>
        </w:rPr>
        <w:t>八项规定精神和</w:t>
      </w:r>
      <w:r>
        <w:rPr>
          <w:rFonts w:hint="eastAsia" w:asciiTheme="minorEastAsia" w:hAnsiTheme="minorEastAsia" w:eastAsiaTheme="minorEastAsia"/>
          <w:sz w:val="32"/>
          <w:szCs w:val="32"/>
          <w:lang w:eastAsia="zh-CN"/>
        </w:rPr>
        <w:t>过“紧日子”</w:t>
      </w:r>
      <w:r>
        <w:rPr>
          <w:rFonts w:hint="default" w:asciiTheme="minorEastAsia" w:hAnsiTheme="minorEastAsia" w:eastAsiaTheme="minorEastAsia"/>
          <w:sz w:val="32"/>
          <w:szCs w:val="32"/>
        </w:rPr>
        <w:t>要求，严格控制单位经费开支</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二、收入决算情况说明</w:t>
      </w:r>
    </w:p>
    <w:p>
      <w:pPr>
        <w:pStyle w:val="9"/>
        <w:ind w:firstLine="640" w:firstLineChars="200"/>
        <w:jc w:val="left"/>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w:t>
      </w:r>
      <w:r>
        <w:rPr>
          <w:rFonts w:hint="eastAsia" w:asciiTheme="minorEastAsia" w:hAnsiTheme="minorEastAsia" w:eastAsiaTheme="minorEastAsia"/>
          <w:sz w:val="32"/>
          <w:szCs w:val="32"/>
          <w:lang w:val="en-US" w:eastAsia="zh-CN"/>
        </w:rPr>
        <w:t>419.15</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419.15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w:t>
      </w:r>
      <w:r>
        <w:rPr>
          <w:rFonts w:hint="eastAsia" w:asciiTheme="minorEastAsia" w:hAnsiTheme="minorEastAsia" w:eastAsiaTheme="minorEastAsia"/>
          <w:sz w:val="32"/>
          <w:szCs w:val="32"/>
          <w:lang w:val="en-US" w:eastAsia="zh-CN"/>
        </w:rPr>
        <w:t>419.15</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388.53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92.69</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30.62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7.31</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四、财政拨款收入支出决算总体情况说明</w:t>
      </w:r>
    </w:p>
    <w:p>
      <w:pPr>
        <w:pStyle w:val="9"/>
        <w:ind w:firstLine="64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年度财政拨款收</w:t>
      </w:r>
      <w:r>
        <w:rPr>
          <w:rFonts w:hint="eastAsia" w:asciiTheme="minorEastAsia" w:hAnsiTheme="minorEastAsia" w:eastAsiaTheme="minorEastAsia"/>
          <w:sz w:val="32"/>
          <w:szCs w:val="32"/>
          <w:lang w:eastAsia="zh-CN"/>
        </w:rPr>
        <w:t>入</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419.15</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85.69</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16.97</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年初</w:t>
      </w:r>
      <w:r>
        <w:rPr>
          <w:rFonts w:hint="eastAsia" w:asciiTheme="minorEastAsia" w:hAnsiTheme="minorEastAsia" w:eastAsiaTheme="minorEastAsia"/>
          <w:sz w:val="32"/>
          <w:szCs w:val="32"/>
        </w:rPr>
        <w:t>财政拨款结转结余</w:t>
      </w:r>
      <w:r>
        <w:rPr>
          <w:rFonts w:hint="eastAsia" w:asciiTheme="minorEastAsia" w:hAnsiTheme="minorEastAsia" w:eastAsiaTheme="minorEastAsia"/>
          <w:sz w:val="32"/>
          <w:szCs w:val="32"/>
          <w:lang w:eastAsia="zh-CN"/>
        </w:rPr>
        <w:t>资金减少。</w:t>
      </w: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年度财政拨款支</w:t>
      </w:r>
      <w:r>
        <w:rPr>
          <w:rFonts w:hint="eastAsia" w:asciiTheme="minorEastAsia" w:hAnsiTheme="minorEastAsia" w:eastAsiaTheme="minorEastAsia"/>
          <w:sz w:val="32"/>
          <w:szCs w:val="32"/>
          <w:lang w:eastAsia="zh-CN"/>
        </w:rPr>
        <w:t>出</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419.15</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44.98</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9.69</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认</w:t>
      </w:r>
      <w:r>
        <w:rPr>
          <w:rFonts w:hint="eastAsia" w:asciiTheme="minorEastAsia" w:hAnsiTheme="minorEastAsia" w:eastAsiaTheme="minorEastAsia"/>
          <w:sz w:val="32"/>
          <w:szCs w:val="32"/>
        </w:rPr>
        <w:t>真贯彻落实中央</w:t>
      </w:r>
      <w:r>
        <w:rPr>
          <w:rFonts w:hint="default" w:asciiTheme="minorEastAsia" w:hAnsiTheme="minorEastAsia" w:eastAsiaTheme="minorEastAsia"/>
          <w:sz w:val="32"/>
          <w:szCs w:val="32"/>
        </w:rPr>
        <w:t>八项规定精神和</w:t>
      </w:r>
      <w:r>
        <w:rPr>
          <w:rFonts w:hint="eastAsia" w:asciiTheme="minorEastAsia" w:hAnsiTheme="minorEastAsia" w:eastAsiaTheme="minorEastAsia"/>
          <w:sz w:val="32"/>
          <w:szCs w:val="32"/>
          <w:lang w:eastAsia="zh-CN"/>
        </w:rPr>
        <w:t>过“紧日子”</w:t>
      </w:r>
      <w:r>
        <w:rPr>
          <w:rFonts w:hint="default" w:asciiTheme="minorEastAsia" w:hAnsiTheme="minorEastAsia" w:eastAsiaTheme="minorEastAsia"/>
          <w:sz w:val="32"/>
          <w:szCs w:val="32"/>
        </w:rPr>
        <w:t>要求，严格控制单位经费开支</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419.15</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%，与上年相比，财政拨款支出减少</w:t>
      </w:r>
      <w:r>
        <w:rPr>
          <w:rFonts w:hint="eastAsia" w:asciiTheme="minorEastAsia" w:hAnsiTheme="minorEastAsia" w:eastAsiaTheme="minorEastAsia"/>
          <w:sz w:val="32"/>
          <w:szCs w:val="32"/>
          <w:lang w:val="en-US" w:eastAsia="zh-CN"/>
        </w:rPr>
        <w:t>44.98</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9.69</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厉行节约，</w:t>
      </w:r>
      <w:r>
        <w:rPr>
          <w:rFonts w:hint="eastAsia" w:asciiTheme="minorEastAsia" w:hAnsiTheme="minorEastAsia" w:eastAsiaTheme="minorEastAsia"/>
          <w:sz w:val="32"/>
          <w:szCs w:val="32"/>
        </w:rPr>
        <w:t>努力压减一般性支出</w:t>
      </w:r>
      <w:r>
        <w:rPr>
          <w:rFonts w:hint="eastAsia" w:asciiTheme="minorEastAsia" w:hAnsiTheme="minorEastAsia" w:eastAsiaTheme="minorEastAsia"/>
          <w:sz w:val="32"/>
          <w:szCs w:val="32"/>
          <w:lang w:eastAsia="zh-CN"/>
        </w:rPr>
        <w:t>。</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419.15</w:t>
      </w:r>
      <w:r>
        <w:rPr>
          <w:rFonts w:hint="eastAsia" w:asciiTheme="minorEastAsia" w:hAnsiTheme="minorEastAsia" w:eastAsiaTheme="minorEastAsia"/>
          <w:sz w:val="32"/>
          <w:szCs w:val="32"/>
        </w:rPr>
        <w:t>万元，主要用于以下方面：社会保障和就业支出（类）支出</w:t>
      </w:r>
      <w:r>
        <w:rPr>
          <w:rFonts w:hint="eastAsia" w:asciiTheme="minorEastAsia" w:hAnsiTheme="minorEastAsia" w:eastAsiaTheme="minorEastAsia"/>
          <w:sz w:val="32"/>
          <w:szCs w:val="32"/>
          <w:lang w:val="en-US" w:eastAsia="zh-CN"/>
        </w:rPr>
        <w:t>31.43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7.50</w:t>
      </w:r>
      <w:r>
        <w:rPr>
          <w:rFonts w:hint="eastAsia" w:asciiTheme="minorEastAsia" w:hAnsiTheme="minorEastAsia" w:eastAsiaTheme="minorEastAsia"/>
          <w:sz w:val="32"/>
          <w:szCs w:val="32"/>
        </w:rPr>
        <w:t>%；卫生健康支出（类）支出</w:t>
      </w:r>
      <w:r>
        <w:rPr>
          <w:rFonts w:hint="eastAsia" w:asciiTheme="minorEastAsia" w:hAnsiTheme="minorEastAsia" w:eastAsiaTheme="minorEastAsia"/>
          <w:sz w:val="32"/>
          <w:szCs w:val="32"/>
          <w:lang w:val="en-US" w:eastAsia="zh-CN"/>
        </w:rPr>
        <w:t>362.10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86.39</w:t>
      </w:r>
      <w:r>
        <w:rPr>
          <w:rFonts w:hint="eastAsia" w:asciiTheme="minorEastAsia" w:hAnsiTheme="minorEastAsia" w:eastAsiaTheme="minorEastAsia"/>
          <w:sz w:val="32"/>
          <w:szCs w:val="32"/>
        </w:rPr>
        <w:t>%;住房保障支出（类）支出</w:t>
      </w:r>
      <w:r>
        <w:rPr>
          <w:rFonts w:hint="eastAsia" w:asciiTheme="minorEastAsia" w:hAnsiTheme="minorEastAsia" w:eastAsiaTheme="minorEastAsia"/>
          <w:sz w:val="32"/>
          <w:szCs w:val="32"/>
          <w:lang w:val="en-US" w:eastAsia="zh-CN"/>
        </w:rPr>
        <w:t>25.62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6.11</w:t>
      </w:r>
      <w:r>
        <w:rPr>
          <w:rFonts w:hint="eastAsia" w:asciiTheme="minorEastAsia" w:hAnsiTheme="minorEastAsia" w:eastAsiaTheme="minorEastAsia"/>
          <w:sz w:val="32"/>
          <w:szCs w:val="32"/>
        </w:rPr>
        <w:t>%。</w:t>
      </w:r>
    </w:p>
    <w:p>
      <w:pPr>
        <w:pStyle w:val="9"/>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640" w:firstLineChars="200"/>
        <w:jc w:val="both"/>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sz w:val="32"/>
          <w:szCs w:val="32"/>
          <w:lang w:val="en-US" w:eastAsia="zh-CN"/>
        </w:rPr>
        <w:t>407.32</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419.15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102.90</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1、社会保障和就业支出</w:t>
      </w:r>
      <w:r>
        <w:rPr>
          <w:rFonts w:hint="eastAsia" w:asciiTheme="minorEastAsia" w:hAnsiTheme="minorEastAsia" w:eastAsiaTheme="minorEastAsia"/>
          <w:sz w:val="32"/>
          <w:szCs w:val="32"/>
          <w:lang w:eastAsia="zh-CN"/>
        </w:rPr>
        <w:t>（类）</w:t>
      </w:r>
      <w:r>
        <w:rPr>
          <w:rFonts w:hint="eastAsia" w:asciiTheme="minorEastAsia" w:hAnsiTheme="minorEastAsia" w:eastAsiaTheme="minorEastAsia"/>
          <w:sz w:val="32"/>
          <w:szCs w:val="32"/>
        </w:rPr>
        <w:t>。</w:t>
      </w:r>
    </w:p>
    <w:p>
      <w:pPr>
        <w:pStyle w:val="9"/>
        <w:ind w:firstLine="800" w:firstLineChars="250"/>
        <w:jc w:val="left"/>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31.56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31.43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99.59</w:t>
      </w:r>
      <w:r>
        <w:rPr>
          <w:rFonts w:hint="eastAsia" w:asciiTheme="minorEastAsia" w:hAnsiTheme="minorEastAsia" w:eastAsiaTheme="minorEastAsia"/>
          <w:sz w:val="32"/>
          <w:szCs w:val="32"/>
        </w:rPr>
        <w:t>%，决算数小于年初预算数的主要原因是在职人员转为退休人员，</w:t>
      </w:r>
      <w:r>
        <w:rPr>
          <w:rFonts w:hint="eastAsia" w:asciiTheme="minorEastAsia" w:hAnsiTheme="minorEastAsia" w:eastAsiaTheme="minorEastAsia"/>
          <w:sz w:val="32"/>
          <w:szCs w:val="32"/>
          <w:lang w:eastAsia="zh-CN"/>
        </w:rPr>
        <w:t>社保</w:t>
      </w:r>
      <w:r>
        <w:rPr>
          <w:rFonts w:hint="eastAsia" w:asciiTheme="minorEastAsia" w:hAnsiTheme="minorEastAsia" w:eastAsiaTheme="minorEastAsia"/>
          <w:sz w:val="32"/>
          <w:szCs w:val="32"/>
        </w:rPr>
        <w:t>缴费支出减少。</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2、卫生健康支出（类）。</w:t>
      </w:r>
    </w:p>
    <w:p>
      <w:pPr>
        <w:pStyle w:val="9"/>
        <w:ind w:firstLine="800" w:firstLineChars="250"/>
        <w:jc w:val="both"/>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350.14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362.10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103.42</w:t>
      </w:r>
      <w:r>
        <w:rPr>
          <w:rFonts w:hint="eastAsia" w:asciiTheme="minorEastAsia" w:hAnsiTheme="minorEastAsia" w:eastAsiaTheme="minorEastAsia"/>
          <w:sz w:val="32"/>
          <w:szCs w:val="32"/>
        </w:rPr>
        <w:t>%，决算数大于年初预算数的主要原因是工资</w:t>
      </w:r>
      <w:r>
        <w:rPr>
          <w:rFonts w:hint="eastAsia" w:asciiTheme="minorEastAsia" w:hAnsiTheme="minorEastAsia" w:eastAsiaTheme="minorEastAsia"/>
          <w:sz w:val="32"/>
          <w:szCs w:val="32"/>
          <w:lang w:eastAsia="zh-CN"/>
        </w:rPr>
        <w:t>普调、</w:t>
      </w:r>
      <w:r>
        <w:rPr>
          <w:rFonts w:hint="eastAsia" w:asciiTheme="minorEastAsia" w:hAnsiTheme="minorEastAsia" w:eastAsiaTheme="minorEastAsia"/>
          <w:sz w:val="32"/>
          <w:szCs w:val="32"/>
        </w:rPr>
        <w:t>调标</w:t>
      </w:r>
      <w:r>
        <w:rPr>
          <w:rFonts w:hint="eastAsia" w:asciiTheme="minorEastAsia" w:hAnsiTheme="minorEastAsia" w:eastAsiaTheme="minorEastAsia"/>
          <w:sz w:val="32"/>
          <w:szCs w:val="32"/>
          <w:lang w:eastAsia="zh-CN"/>
        </w:rPr>
        <w:t>等</w:t>
      </w:r>
      <w:r>
        <w:rPr>
          <w:rFonts w:hint="eastAsia" w:asciiTheme="minorEastAsia" w:hAnsiTheme="minorEastAsia" w:eastAsiaTheme="minorEastAsia"/>
          <w:sz w:val="32"/>
          <w:szCs w:val="32"/>
        </w:rPr>
        <w:t>政策性调整</w:t>
      </w:r>
      <w:r>
        <w:rPr>
          <w:rFonts w:hint="eastAsia" w:asciiTheme="minorEastAsia" w:hAnsiTheme="minorEastAsia" w:eastAsiaTheme="minorEastAsia"/>
          <w:sz w:val="32"/>
          <w:szCs w:val="32"/>
          <w:lang w:eastAsia="zh-CN"/>
        </w:rPr>
        <w:t>的支出增加。</w:t>
      </w:r>
    </w:p>
    <w:p>
      <w:pPr>
        <w:pStyle w:val="9"/>
        <w:numPr>
          <w:ilvl w:val="0"/>
          <w:numId w:val="2"/>
        </w:numPr>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住房保障支出（类）</w:t>
      </w:r>
      <w:r>
        <w:rPr>
          <w:rFonts w:hint="eastAsia" w:asciiTheme="minorEastAsia" w:hAnsiTheme="minorEastAsia" w:eastAsiaTheme="minorEastAsia"/>
          <w:sz w:val="32"/>
          <w:szCs w:val="32"/>
          <w:lang w:eastAsia="zh-CN"/>
        </w:rPr>
        <w:t>。</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25.62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25.62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rPr>
        <w:t>年初预算数</w:t>
      </w:r>
      <w:r>
        <w:rPr>
          <w:rFonts w:hint="eastAsia" w:asciiTheme="minorEastAsia" w:hAnsiTheme="minorEastAsia" w:eastAsiaTheme="minorEastAsia"/>
          <w:sz w:val="32"/>
          <w:szCs w:val="32"/>
          <w:lang w:eastAsia="zh-CN"/>
        </w:rPr>
        <w:t>持平。</w:t>
      </w:r>
    </w:p>
    <w:p>
      <w:pPr>
        <w:pStyle w:val="9"/>
        <w:rPr>
          <w:rFonts w:hAnsi="黑体"/>
          <w:b/>
          <w:sz w:val="32"/>
          <w:szCs w:val="32"/>
        </w:rPr>
      </w:pPr>
      <w:r>
        <w:rPr>
          <w:rFonts w:hint="eastAsia" w:hAnsi="黑体"/>
          <w:b/>
          <w:sz w:val="32"/>
          <w:szCs w:val="32"/>
        </w:rPr>
        <w:t>六、一般公共预算财政拨款基本支出决算情况说明</w:t>
      </w:r>
    </w:p>
    <w:p>
      <w:pPr>
        <w:pStyle w:val="9"/>
        <w:ind w:firstLine="640" w:firstLineChars="20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2021年度财政拨款基本支出</w:t>
      </w:r>
      <w:r>
        <w:rPr>
          <w:rFonts w:hint="eastAsia" w:asciiTheme="minorEastAsia" w:hAnsiTheme="minorEastAsia" w:eastAsiaTheme="minorEastAsia"/>
          <w:sz w:val="32"/>
          <w:szCs w:val="32"/>
          <w:lang w:val="en-US" w:eastAsia="zh-CN"/>
        </w:rPr>
        <w:t>388.53</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307.37</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79.11</w:t>
      </w:r>
      <w:r>
        <w:rPr>
          <w:rFonts w:hint="eastAsia" w:asciiTheme="minorEastAsia" w:hAnsiTheme="minorEastAsia" w:eastAsiaTheme="minorEastAsia"/>
          <w:sz w:val="32"/>
          <w:szCs w:val="32"/>
        </w:rPr>
        <w:t>%,主要包括基本工资、津贴补贴、奖金、绩效工资、机关事业单位基本养老保险缴费、职工基本医疗保险缴费、其他社会保障缴费、住房公积金、其他工资福利支出、</w:t>
      </w:r>
      <w:r>
        <w:rPr>
          <w:rFonts w:hint="eastAsia" w:asciiTheme="minorEastAsia" w:hAnsiTheme="minorEastAsia" w:eastAsiaTheme="minorEastAsia"/>
          <w:sz w:val="32"/>
          <w:szCs w:val="32"/>
          <w:lang w:eastAsia="zh-CN"/>
        </w:rPr>
        <w:t>生活补助；</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81.16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20.89</w:t>
      </w:r>
      <w:r>
        <w:rPr>
          <w:rFonts w:hint="eastAsia" w:asciiTheme="minorEastAsia" w:hAnsiTheme="minorEastAsia" w:eastAsiaTheme="minorEastAsia"/>
          <w:sz w:val="32"/>
          <w:szCs w:val="32"/>
        </w:rPr>
        <w:t>%，主要包括办公费、</w:t>
      </w:r>
      <w:r>
        <w:rPr>
          <w:rFonts w:hint="eastAsia" w:asciiTheme="minorEastAsia" w:hAnsiTheme="minorEastAsia" w:eastAsiaTheme="minorEastAsia"/>
          <w:sz w:val="32"/>
          <w:szCs w:val="32"/>
          <w:lang w:eastAsia="zh-CN"/>
        </w:rPr>
        <w:t>水费、电费、</w:t>
      </w:r>
      <w:r>
        <w:rPr>
          <w:rFonts w:hint="eastAsia" w:asciiTheme="minorEastAsia" w:hAnsiTheme="minorEastAsia" w:eastAsiaTheme="minorEastAsia"/>
          <w:sz w:val="32"/>
          <w:szCs w:val="32"/>
        </w:rPr>
        <w:t>邮电费、物业管理费、差旅费、</w:t>
      </w:r>
      <w:r>
        <w:rPr>
          <w:rFonts w:hint="eastAsia" w:asciiTheme="minorEastAsia" w:hAnsiTheme="minorEastAsia" w:eastAsiaTheme="minorEastAsia"/>
          <w:sz w:val="32"/>
          <w:szCs w:val="32"/>
          <w:lang w:eastAsia="zh-CN"/>
        </w:rPr>
        <w:t>维修（护）费、</w:t>
      </w:r>
      <w:r>
        <w:rPr>
          <w:rFonts w:hint="eastAsia" w:asciiTheme="minorEastAsia" w:hAnsiTheme="minorEastAsia" w:eastAsiaTheme="minorEastAsia"/>
          <w:sz w:val="32"/>
          <w:szCs w:val="32"/>
        </w:rPr>
        <w:t xml:space="preserve"> 培训费、</w:t>
      </w:r>
      <w:r>
        <w:rPr>
          <w:rFonts w:hint="eastAsia" w:asciiTheme="minorEastAsia" w:hAnsiTheme="minorEastAsia" w:eastAsiaTheme="minorEastAsia"/>
          <w:sz w:val="32"/>
          <w:szCs w:val="32"/>
          <w:lang w:eastAsia="zh-CN"/>
        </w:rPr>
        <w:t>劳务费、委托业务费、</w:t>
      </w:r>
      <w:r>
        <w:rPr>
          <w:rFonts w:hint="eastAsia" w:asciiTheme="minorEastAsia" w:hAnsiTheme="minorEastAsia" w:eastAsiaTheme="minorEastAsia"/>
          <w:sz w:val="32"/>
          <w:szCs w:val="32"/>
        </w:rPr>
        <w:t>工会经费、福利费、公务用车运行维护费、其他交通费用、其他商品和服务支出。</w:t>
      </w:r>
    </w:p>
    <w:p>
      <w:pPr>
        <w:pStyle w:val="9"/>
        <w:rPr>
          <w:rFonts w:hAnsi="黑体"/>
          <w:b/>
          <w:sz w:val="32"/>
          <w:szCs w:val="32"/>
        </w:rPr>
      </w:pPr>
      <w:r>
        <w:rPr>
          <w:rFonts w:hint="eastAsia" w:hAnsi="黑体"/>
          <w:b/>
          <w:sz w:val="32"/>
          <w:szCs w:val="32"/>
        </w:rPr>
        <w:t>七、一般公共预算财政拨款“三公”经费支出决算情况说明</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2021年度“三公”经费财政拨款支出预算为</w:t>
      </w:r>
      <w:r>
        <w:rPr>
          <w:rFonts w:hint="eastAsia" w:asciiTheme="minorEastAsia" w:hAnsiTheme="minorEastAsia" w:eastAsiaTheme="minorEastAsia"/>
          <w:sz w:val="32"/>
          <w:szCs w:val="32"/>
          <w:lang w:val="en-US" w:eastAsia="zh-CN"/>
        </w:rPr>
        <w:t>18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6.40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35.56</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等于</w:t>
      </w:r>
      <w:r>
        <w:rPr>
          <w:rFonts w:hint="eastAsia" w:asciiTheme="minorEastAsia" w:hAnsiTheme="minorEastAsia" w:eastAsiaTheme="minorEastAsia"/>
          <w:sz w:val="32"/>
          <w:szCs w:val="32"/>
        </w:rPr>
        <w:t>预算数。</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8.40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0.22</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2.62</w:t>
      </w:r>
      <w:r>
        <w:rPr>
          <w:rFonts w:hint="eastAsia" w:asciiTheme="minorEastAsia" w:hAnsiTheme="minorEastAsia" w:eastAsiaTheme="minorEastAsia"/>
          <w:sz w:val="32"/>
          <w:szCs w:val="32"/>
        </w:rPr>
        <w:t>%，决算数小于预算数的主要原因是严格控制公务接待费支出，与上年相比增加</w:t>
      </w:r>
      <w:r>
        <w:rPr>
          <w:rFonts w:hint="eastAsia" w:asciiTheme="minorEastAsia" w:hAnsiTheme="minorEastAsia" w:eastAsiaTheme="minorEastAsia"/>
          <w:sz w:val="32"/>
          <w:szCs w:val="32"/>
          <w:lang w:val="en-US" w:eastAsia="zh-CN"/>
        </w:rPr>
        <w:t>0.10</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83.33</w:t>
      </w:r>
      <w:r>
        <w:rPr>
          <w:rFonts w:hint="eastAsia" w:asciiTheme="minorEastAsia" w:hAnsiTheme="minorEastAsia" w:eastAsiaTheme="minorEastAsia"/>
          <w:sz w:val="32"/>
          <w:szCs w:val="32"/>
        </w:rPr>
        <w:t>%,增长的主要原因是</w:t>
      </w:r>
      <w:r>
        <w:rPr>
          <w:rFonts w:hint="eastAsia" w:asciiTheme="minorEastAsia" w:hAnsiTheme="minorEastAsia" w:eastAsiaTheme="minorEastAsia"/>
          <w:sz w:val="32"/>
          <w:szCs w:val="32"/>
          <w:lang w:eastAsia="zh-CN"/>
        </w:rPr>
        <w:t>受新冠疫情影响，上级督查检查频次较上年略有增加</w:t>
      </w:r>
      <w:r>
        <w:rPr>
          <w:rFonts w:hint="eastAsia" w:asciiTheme="minorEastAsia" w:hAnsiTheme="minorEastAsia" w:eastAsiaTheme="minorEastAsia"/>
          <w:sz w:val="32"/>
          <w:szCs w:val="32"/>
        </w:rPr>
        <w:t>。</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等于</w:t>
      </w:r>
      <w:r>
        <w:rPr>
          <w:rFonts w:hint="eastAsia" w:asciiTheme="minorEastAsia" w:hAnsiTheme="minorEastAsia" w:eastAsiaTheme="minorEastAsia"/>
          <w:sz w:val="32"/>
          <w:szCs w:val="32"/>
        </w:rPr>
        <w:t>预算数。</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公务用车运行维护费支出预算为</w:t>
      </w:r>
      <w:r>
        <w:rPr>
          <w:rFonts w:hint="eastAsia" w:asciiTheme="minorEastAsia" w:hAnsiTheme="minorEastAsia" w:eastAsiaTheme="minorEastAsia"/>
          <w:sz w:val="32"/>
          <w:szCs w:val="32"/>
          <w:lang w:val="en-US" w:eastAsia="zh-CN"/>
        </w:rPr>
        <w:t>9.60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6.18</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64.38</w:t>
      </w:r>
      <w:r>
        <w:rPr>
          <w:rFonts w:hint="eastAsia" w:asciiTheme="minorEastAsia" w:hAnsiTheme="minorEastAsia" w:eastAsiaTheme="minorEastAsia"/>
          <w:sz w:val="32"/>
          <w:szCs w:val="32"/>
        </w:rPr>
        <w:t>%，决算数小于预算数的主要原因是从严控制“</w:t>
      </w:r>
      <w:r>
        <w:rPr>
          <w:rFonts w:hint="default" w:asciiTheme="minorEastAsia" w:hAnsiTheme="minorEastAsia" w:eastAsiaTheme="minorEastAsia"/>
          <w:sz w:val="32"/>
          <w:szCs w:val="32"/>
        </w:rPr>
        <w:t>三公</w:t>
      </w:r>
      <w:r>
        <w:rPr>
          <w:rFonts w:hint="eastAsia" w:asciiTheme="minorEastAsia" w:hAnsiTheme="minorEastAsia" w:eastAsiaTheme="minorEastAsia"/>
          <w:sz w:val="32"/>
          <w:szCs w:val="32"/>
        </w:rPr>
        <w:t>”</w:t>
      </w:r>
      <w:r>
        <w:rPr>
          <w:rFonts w:hint="default" w:asciiTheme="minorEastAsia" w:hAnsiTheme="minorEastAsia" w:eastAsiaTheme="minorEastAsia"/>
          <w:sz w:val="32"/>
          <w:szCs w:val="32"/>
        </w:rPr>
        <w:t>经费开支</w:t>
      </w:r>
      <w:r>
        <w:rPr>
          <w:rFonts w:hint="eastAsia" w:asciiTheme="minorEastAsia" w:hAnsiTheme="minorEastAsia" w:eastAsiaTheme="minorEastAsia"/>
          <w:sz w:val="32"/>
          <w:szCs w:val="32"/>
        </w:rPr>
        <w:t>，与上年相比减少（增加）</w:t>
      </w:r>
      <w:r>
        <w:rPr>
          <w:rFonts w:hint="eastAsia" w:asciiTheme="minorEastAsia" w:hAnsiTheme="minorEastAsia" w:eastAsiaTheme="minorEastAsia"/>
          <w:sz w:val="32"/>
          <w:szCs w:val="32"/>
          <w:lang w:val="en-US" w:eastAsia="zh-CN"/>
        </w:rPr>
        <w:t>0.18</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2.83</w:t>
      </w:r>
      <w:r>
        <w:rPr>
          <w:rFonts w:hint="eastAsia" w:asciiTheme="minorEastAsia" w:hAnsiTheme="minorEastAsia" w:eastAsiaTheme="minorEastAsia"/>
          <w:sz w:val="32"/>
          <w:szCs w:val="32"/>
        </w:rPr>
        <w:t>%,减少的主要原因从严控制“</w:t>
      </w:r>
      <w:r>
        <w:rPr>
          <w:rFonts w:hint="default" w:asciiTheme="minorEastAsia" w:hAnsiTheme="minorEastAsia" w:eastAsiaTheme="minorEastAsia"/>
          <w:sz w:val="32"/>
          <w:szCs w:val="32"/>
        </w:rPr>
        <w:t>三公</w:t>
      </w:r>
      <w:r>
        <w:rPr>
          <w:rFonts w:hint="eastAsia" w:asciiTheme="minorEastAsia" w:hAnsiTheme="minorEastAsia" w:eastAsiaTheme="minorEastAsia"/>
          <w:sz w:val="32"/>
          <w:szCs w:val="32"/>
        </w:rPr>
        <w:t>”</w:t>
      </w:r>
      <w:r>
        <w:rPr>
          <w:rFonts w:hint="default" w:asciiTheme="minorEastAsia" w:hAnsiTheme="minorEastAsia" w:eastAsiaTheme="minorEastAsia"/>
          <w:sz w:val="32"/>
          <w:szCs w:val="32"/>
        </w:rPr>
        <w:t>经费开支</w:t>
      </w:r>
      <w:r>
        <w:rPr>
          <w:rFonts w:hint="eastAsia" w:asciiTheme="minorEastAsia" w:hAnsiTheme="minorEastAsia" w:eastAsiaTheme="minorEastAsia"/>
          <w:sz w:val="32"/>
          <w:szCs w:val="32"/>
        </w:rPr>
        <w:t>。</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0.22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3.44</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6.18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96.56</w:t>
      </w:r>
      <w:r>
        <w:rPr>
          <w:rFonts w:hint="eastAsia" w:asciiTheme="minorEastAsia" w:hAnsiTheme="minorEastAsia" w:eastAsiaTheme="minorEastAsia"/>
          <w:sz w:val="32"/>
          <w:szCs w:val="32"/>
        </w:rPr>
        <w:t>%。其中：</w:t>
      </w:r>
    </w:p>
    <w:p>
      <w:pPr>
        <w:pStyle w:val="9"/>
        <w:ind w:firstLine="640" w:firstLineChars="200"/>
        <w:rPr>
          <w:rFonts w:hint="eastAsia" w:asciiTheme="minorEastAsia" w:hAnsiTheme="minorEastAsia" w:eastAsiaTheme="minorEastAsia"/>
          <w:b/>
          <w:sz w:val="32"/>
          <w:szCs w:val="32"/>
          <w:lang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i/>
          <w:color w:val="FF0000"/>
          <w:sz w:val="32"/>
          <w:szCs w:val="32"/>
          <w:lang w:val="en-US" w:eastAsia="zh-CN"/>
        </w:rPr>
        <w:t>.</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0.22</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45</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主要是上级部门来单位督查、调研等发生的接待支出</w:t>
      </w:r>
      <w:r>
        <w:rPr>
          <w:rFonts w:hint="eastAsia" w:asciiTheme="minorEastAsia" w:hAnsiTheme="minorEastAsia" w:eastAsiaTheme="minorEastAsia"/>
          <w:sz w:val="32"/>
          <w:szCs w:val="32"/>
          <w:lang w:eastAsia="zh-CN"/>
        </w:rPr>
        <w:t>。</w:t>
      </w:r>
    </w:p>
    <w:p>
      <w:pPr>
        <w:ind w:firstLine="640" w:firstLineChars="20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,6.18</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万元，公务用车运行维护费</w:t>
      </w:r>
      <w:r>
        <w:rPr>
          <w:rFonts w:hint="eastAsia" w:asciiTheme="minorEastAsia" w:hAnsiTheme="minorEastAsia"/>
          <w:sz w:val="32"/>
          <w:szCs w:val="32"/>
          <w:lang w:val="en-US" w:eastAsia="zh-CN"/>
        </w:rPr>
        <w:t>6.18</w:t>
      </w:r>
      <w:r>
        <w:rPr>
          <w:rFonts w:hint="eastAsia" w:asciiTheme="minorEastAsia" w:hAnsiTheme="minorEastAsia"/>
          <w:sz w:val="32"/>
          <w:szCs w:val="32"/>
        </w:rPr>
        <w:t>万元，主要是公务用车日常运行和维护的费用支出，截止2021年12月31日，我单位开支财政拨款的公务用车保有量为</w:t>
      </w:r>
      <w:r>
        <w:rPr>
          <w:rFonts w:hint="eastAsia" w:asciiTheme="minorEastAsia" w:hAnsiTheme="minorEastAsia"/>
          <w:sz w:val="32"/>
          <w:szCs w:val="32"/>
          <w:lang w:val="en-US" w:eastAsia="zh-CN"/>
        </w:rPr>
        <w:t>2</w:t>
      </w:r>
      <w:r>
        <w:rPr>
          <w:rFonts w:hint="eastAsia" w:asciiTheme="minorEastAsia" w:hAnsiTheme="minorEastAsia"/>
          <w:sz w:val="32"/>
          <w:szCs w:val="32"/>
        </w:rPr>
        <w:t>辆。</w:t>
      </w:r>
    </w:p>
    <w:p>
      <w:pPr>
        <w:pStyle w:val="9"/>
        <w:rPr>
          <w:rFonts w:hAnsi="黑体"/>
          <w:b/>
          <w:sz w:val="32"/>
          <w:szCs w:val="32"/>
        </w:rPr>
      </w:pPr>
      <w:r>
        <w:rPr>
          <w:rFonts w:hint="eastAsia" w:hAnsi="黑体"/>
          <w:b/>
          <w:sz w:val="32"/>
          <w:szCs w:val="32"/>
        </w:rPr>
        <w:t>八、政府性基金预算收入支出决算情况</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2021年度政府性基金预算财政拨款收入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9"/>
        <w:rPr>
          <w:rFonts w:hAnsi="黑体"/>
          <w:b/>
          <w:sz w:val="32"/>
          <w:szCs w:val="32"/>
        </w:rPr>
      </w:pPr>
      <w:r>
        <w:rPr>
          <w:rFonts w:hint="eastAsia" w:hAnsi="黑体"/>
          <w:b/>
          <w:sz w:val="32"/>
          <w:szCs w:val="32"/>
        </w:rPr>
        <w:t>九、机关运行经费支出说明</w:t>
      </w:r>
    </w:p>
    <w:p>
      <w:pPr>
        <w:pStyle w:val="9"/>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本部门2021年度机关运行经费支出</w:t>
      </w:r>
      <w:r>
        <w:rPr>
          <w:rFonts w:hint="eastAsia" w:asciiTheme="minorEastAsia" w:hAnsiTheme="minorEastAsia" w:eastAsiaTheme="minorEastAsia"/>
          <w:sz w:val="32"/>
          <w:szCs w:val="32"/>
          <w:lang w:val="en-US" w:eastAsia="zh-CN"/>
        </w:rPr>
        <w:t>81.16</w:t>
      </w:r>
      <w:r>
        <w:rPr>
          <w:rFonts w:hint="eastAsia" w:asciiTheme="minorEastAsia" w:hAnsiTheme="minorEastAsia" w:eastAsiaTheme="minorEastAsia"/>
          <w:sz w:val="32"/>
          <w:szCs w:val="32"/>
        </w:rPr>
        <w:t>万元，比上年决算数增加</w:t>
      </w:r>
      <w:r>
        <w:rPr>
          <w:rFonts w:hint="eastAsia" w:asciiTheme="minorEastAsia" w:hAnsiTheme="minorEastAsia" w:eastAsiaTheme="minorEastAsia"/>
          <w:sz w:val="32"/>
          <w:szCs w:val="32"/>
          <w:lang w:val="en-US" w:eastAsia="zh-CN"/>
        </w:rPr>
        <w:t>6.04</w:t>
      </w:r>
      <w:r>
        <w:rPr>
          <w:rFonts w:hint="eastAsia" w:asciiTheme="minorEastAsia" w:hAnsiTheme="minorEastAsia" w:eastAsiaTheme="minorEastAsia"/>
          <w:sz w:val="32"/>
          <w:szCs w:val="32"/>
        </w:rPr>
        <w:t xml:space="preserve"> 万元，增长</w:t>
      </w:r>
      <w:r>
        <w:rPr>
          <w:rFonts w:hint="eastAsia" w:asciiTheme="minorEastAsia" w:hAnsiTheme="minorEastAsia" w:eastAsiaTheme="minorEastAsia"/>
          <w:sz w:val="32"/>
          <w:szCs w:val="32"/>
          <w:lang w:val="en-US" w:eastAsia="zh-CN"/>
        </w:rPr>
        <w:t>8.04</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eastAsia="zh-CN"/>
        </w:rPr>
        <w:t>上年应付未付款项本年列支。</w:t>
      </w:r>
    </w:p>
    <w:p>
      <w:pPr>
        <w:pStyle w:val="9"/>
        <w:rPr>
          <w:rFonts w:hAnsi="黑体"/>
          <w:b/>
          <w:sz w:val="32"/>
          <w:szCs w:val="32"/>
        </w:rPr>
      </w:pPr>
      <w:r>
        <w:rPr>
          <w:rFonts w:hint="eastAsia" w:hAnsi="黑体"/>
          <w:b/>
          <w:sz w:val="32"/>
          <w:szCs w:val="32"/>
        </w:rPr>
        <w:t>十、一般性支出情况说明</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万元，开支培训费</w:t>
      </w:r>
      <w:r>
        <w:rPr>
          <w:rFonts w:hint="eastAsia" w:asciiTheme="minorEastAsia" w:hAnsiTheme="minorEastAsia" w:eastAsiaTheme="minorEastAsia"/>
          <w:sz w:val="32"/>
          <w:szCs w:val="32"/>
          <w:lang w:val="en-US" w:eastAsia="zh-CN"/>
        </w:rPr>
        <w:t>0.18</w:t>
      </w:r>
      <w:r>
        <w:rPr>
          <w:rFonts w:hint="eastAsia" w:asciiTheme="minorEastAsia" w:hAnsiTheme="minorEastAsia" w:eastAsiaTheme="minorEastAsia"/>
          <w:sz w:val="32"/>
          <w:szCs w:val="32"/>
        </w:rPr>
        <w:t>万元，用于</w:t>
      </w:r>
      <w:r>
        <w:rPr>
          <w:rFonts w:hint="eastAsia" w:asciiTheme="minorEastAsia" w:hAnsiTheme="minorEastAsia"/>
          <w:sz w:val="32"/>
          <w:szCs w:val="32"/>
          <w:lang w:eastAsia="zh-CN"/>
        </w:rPr>
        <w:t>单位</w:t>
      </w:r>
      <w:r>
        <w:rPr>
          <w:rFonts w:hint="eastAsia" w:cs="黑体" w:asciiTheme="minorEastAsia" w:hAnsiTheme="minorEastAsia"/>
          <w:color w:val="000000"/>
          <w:kern w:val="0"/>
          <w:sz w:val="32"/>
          <w:szCs w:val="32"/>
          <w:lang w:eastAsia="zh-CN"/>
        </w:rPr>
        <w:t>干部职工</w:t>
      </w:r>
      <w:r>
        <w:rPr>
          <w:rFonts w:hint="eastAsia" w:cs="黑体" w:asciiTheme="minorEastAsia" w:hAnsiTheme="minorEastAsia"/>
          <w:color w:val="000000"/>
          <w:kern w:val="0"/>
          <w:sz w:val="32"/>
          <w:szCs w:val="32"/>
          <w:lang w:val="en-US" w:eastAsia="zh-CN"/>
        </w:rPr>
        <w:t>参加省、市组织的医疗执业、生活饮用水卫生、放射卫生、学校卫生等执法业务学习培训开支。</w:t>
      </w:r>
    </w:p>
    <w:p>
      <w:pPr>
        <w:pStyle w:val="9"/>
        <w:rPr>
          <w:rFonts w:hAnsi="黑体"/>
          <w:b/>
          <w:sz w:val="32"/>
          <w:szCs w:val="32"/>
        </w:rPr>
      </w:pPr>
      <w:r>
        <w:rPr>
          <w:rFonts w:hint="eastAsia" w:hAnsi="黑体"/>
          <w:b/>
          <w:sz w:val="32"/>
          <w:szCs w:val="32"/>
        </w:rPr>
        <w:t>十一、政府采购支出说明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本部门2021年度政府采购支出总额</w:t>
      </w:r>
      <w:r>
        <w:rPr>
          <w:rFonts w:hint="eastAsia" w:asciiTheme="minorEastAsia" w:hAnsiTheme="minorEastAsia" w:eastAsiaTheme="minorEastAsia"/>
          <w:sz w:val="32"/>
          <w:szCs w:val="32"/>
          <w:lang w:val="en-US" w:eastAsia="zh-CN"/>
        </w:rPr>
        <w:t>2.16</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2.16</w:t>
      </w:r>
      <w:r>
        <w:rPr>
          <w:rFonts w:hint="eastAsia" w:asciiTheme="minorEastAsia" w:hAnsiTheme="minorEastAsia" w:eastAsiaTheme="minorEastAsia"/>
          <w:sz w:val="32"/>
          <w:szCs w:val="32"/>
        </w:rPr>
        <w:t>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 xml:space="preserve"> 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十二、国有资产占用情况说明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9"/>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按照预算绩效管理要求，我局对20</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年度部门整体支出绩效开展自评工作</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绩效指标设置符合部门职责和相关管理规定，较好</w:t>
      </w:r>
      <w:r>
        <w:rPr>
          <w:rFonts w:hint="eastAsia" w:asciiTheme="minorEastAsia" w:hAnsiTheme="minorEastAsia" w:eastAsiaTheme="minorEastAsia"/>
          <w:sz w:val="32"/>
          <w:szCs w:val="32"/>
          <w:lang w:eastAsia="zh-CN"/>
        </w:rPr>
        <w:t>地</w:t>
      </w:r>
      <w:r>
        <w:rPr>
          <w:rFonts w:hint="eastAsia" w:asciiTheme="minorEastAsia" w:hAnsiTheme="minorEastAsia" w:eastAsiaTheme="minorEastAsia"/>
          <w:sz w:val="32"/>
          <w:szCs w:val="32"/>
        </w:rPr>
        <w:t>完成了年初设定的各项工作目标</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通过绩效自评，掌握了部门整体支出使用情况和取得的效果，总结了资金管理经验，发现了工作中存在的问题不足</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为进一步规范财政支出管理、健全项目和资金使用管理、完善预算和绩效目标管理提供了重要参考。</w:t>
      </w:r>
    </w:p>
    <w:p>
      <w:pPr>
        <w:autoSpaceDE w:val="0"/>
        <w:autoSpaceDN w:val="0"/>
        <w:adjustRightInd w:val="0"/>
        <w:ind w:firstLine="640" w:firstLineChars="200"/>
        <w:jc w:val="left"/>
        <w:rPr>
          <w:rFonts w:hint="eastAsia" w:cs="黑体" w:asciiTheme="minorEastAsia" w:hAnsiTheme="minorEastAsia"/>
          <w:color w:val="000000"/>
          <w:kern w:val="0"/>
          <w:sz w:val="32"/>
          <w:szCs w:val="3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rFonts w:hint="eastAsia"/>
          <w:sz w:val="72"/>
          <w:szCs w:val="72"/>
        </w:rPr>
      </w:pPr>
    </w:p>
    <w:p>
      <w:pPr>
        <w:pStyle w:val="9"/>
        <w:jc w:val="center"/>
        <w:rPr>
          <w:rFonts w:hint="eastAsia"/>
          <w:sz w:val="72"/>
          <w:szCs w:val="72"/>
        </w:rPr>
      </w:pPr>
    </w:p>
    <w:p>
      <w:pPr>
        <w:pStyle w:val="9"/>
        <w:jc w:val="center"/>
        <w:rPr>
          <w:rFonts w:hint="eastAsia"/>
          <w:sz w:val="72"/>
          <w:szCs w:val="72"/>
        </w:rPr>
      </w:pPr>
    </w:p>
    <w:p>
      <w:pPr>
        <w:pStyle w:val="9"/>
        <w:jc w:val="center"/>
        <w:rPr>
          <w:rFonts w:hint="eastAsia"/>
          <w:sz w:val="72"/>
          <w:szCs w:val="72"/>
        </w:rPr>
      </w:pPr>
    </w:p>
    <w:p>
      <w:pPr>
        <w:pStyle w:val="9"/>
        <w:jc w:val="center"/>
        <w:rPr>
          <w:rFonts w:hint="eastAsia"/>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财政拨款收入：指财政当年拨付的资金。包括一般公共预算财政拨款和政府性基金财政拨款。</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上级补助收入：指事业单位从主管部门和上级单位取得的非财政补助收入。</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事业收入：指事业单位开展专业业务活动及辅助活动所取得的收入。</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经营收入：指事业单位在专业业务活动及其辅助活动之外开展非独立核算经营活动取得的收入。</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附属单位上缴收入：指事业单位附属独立核算单位按照有关规定上缴的收入。</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其他收入：指除上述“财政拨款收入”、“事业收入”、“经营收入”等以外的收入。</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用事业基金弥补收支差额：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年初结转和结余：指以前年度尚未完成、结转到本年按有关规定继续使用的资金。</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结余分配：指事业事位按规定从非财政补助结余中分配的事业基金和职工福利基金等。</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年末结转和结余：指本年度或以前年度预算安排、因客观条件发生变化无法按原计划实施，需要延迟到以后年度按有关规定继续使用的资金。</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基本支出：指为保障机构正常运转、完成日常工作任务而发生的人员支出和公用支出。</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项目支出：指在基本支出之外为完成特定行政任务和事业发展目标所发生的支出。</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经营支出：指事业单位在专业业务活动及其辅助活动之外开展非独立核算经营活动所发生的支出。</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三公”经费：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numPr>
          <w:ilvl w:val="0"/>
          <w:numId w:val="3"/>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both"/>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2021年度部门整体支出绩效评价报告</w:t>
      </w:r>
    </w:p>
    <w:p>
      <w:pPr>
        <w:spacing w:line="360" w:lineRule="auto"/>
        <w:ind w:firstLine="640" w:firstLineChars="200"/>
        <w:jc w:val="both"/>
        <w:rPr>
          <w:rFonts w:hint="eastAsia" w:ascii="宋体" w:hAnsi="宋体" w:eastAsia="宋体" w:cs="宋体"/>
          <w:b/>
          <w:sz w:val="32"/>
          <w:szCs w:val="32"/>
          <w:lang w:eastAsia="zh-CN"/>
        </w:rPr>
      </w:pPr>
      <w:r>
        <w:rPr>
          <w:rFonts w:hint="eastAsia" w:ascii="宋体" w:hAnsi="宋体" w:eastAsia="宋体" w:cs="宋体"/>
          <w:b/>
          <w:sz w:val="32"/>
          <w:szCs w:val="32"/>
          <w:lang w:eastAsia="zh-CN"/>
        </w:rPr>
        <w:t>一、单位基本情况</w:t>
      </w:r>
    </w:p>
    <w:p>
      <w:pPr>
        <w:numPr>
          <w:ilvl w:val="0"/>
          <w:numId w:val="4"/>
        </w:numPr>
        <w:spacing w:line="360" w:lineRule="auto"/>
        <w:ind w:firstLine="640" w:firstLineChars="200"/>
        <w:jc w:val="both"/>
        <w:rPr>
          <w:rFonts w:ascii="仿宋_GB2312" w:hAnsi="宋体" w:eastAsia="仿宋_GB2312" w:cs="宋体"/>
          <w:sz w:val="32"/>
          <w:szCs w:val="32"/>
          <w:lang w:eastAsia="zh-CN"/>
        </w:rPr>
      </w:pPr>
      <w:r>
        <w:rPr>
          <w:rFonts w:hint="eastAsia" w:ascii="宋体" w:hAnsi="宋体" w:eastAsia="宋体" w:cs="宋体"/>
          <w:b/>
          <w:color w:val="000000"/>
          <w:sz w:val="32"/>
          <w:szCs w:val="32"/>
          <w:shd w:val="clear" w:color="auto" w:fill="FFFFFF"/>
          <w:lang w:eastAsia="zh-CN"/>
        </w:rPr>
        <w:t>在职人员情况及机构设置</w:t>
      </w:r>
      <w:r>
        <w:rPr>
          <w:rFonts w:hint="eastAsia" w:ascii="宋体" w:hAnsi="宋体" w:eastAsia="宋体" w:cs="宋体"/>
          <w:b/>
          <w:color w:val="333333"/>
          <w:sz w:val="32"/>
          <w:szCs w:val="32"/>
          <w:shd w:val="clear" w:color="auto" w:fill="FFFFFF"/>
          <w:lang w:eastAsia="zh-CN"/>
        </w:rPr>
        <w:t xml:space="preserve"> </w:t>
      </w:r>
      <w:r>
        <w:rPr>
          <w:rFonts w:hint="eastAsia" w:ascii="仿宋_GB2312" w:hAnsi="宋体" w:eastAsia="仿宋_GB2312" w:cs="宋体"/>
          <w:color w:val="000000"/>
          <w:sz w:val="32"/>
          <w:szCs w:val="32"/>
          <w:shd w:val="clear" w:color="auto" w:fill="FFFFFF"/>
          <w:lang w:eastAsia="zh-CN"/>
        </w:rPr>
        <w:t xml:space="preserve"> </w:t>
      </w:r>
      <w:r>
        <w:rPr>
          <w:rFonts w:hint="eastAsia" w:ascii="仿宋_GB2312" w:hAnsi="宋体" w:eastAsia="仿宋_GB2312" w:cs="宋体"/>
          <w:sz w:val="32"/>
          <w:szCs w:val="32"/>
          <w:lang w:eastAsia="zh-CN"/>
        </w:rPr>
        <w:t>我局为公益一类事业单位，副科级，独立核算；编制</w:t>
      </w:r>
      <w:r>
        <w:rPr>
          <w:rFonts w:hint="eastAsia" w:ascii="仿宋_GB2312" w:hAnsi="宋体" w:eastAsia="仿宋_GB2312" w:cs="宋体"/>
          <w:color w:val="333333"/>
          <w:sz w:val="32"/>
          <w:szCs w:val="32"/>
          <w:shd w:val="clear" w:color="auto" w:fill="FFFFFF"/>
          <w:lang w:eastAsia="zh-CN"/>
        </w:rPr>
        <w:t>人数</w:t>
      </w:r>
      <w:r>
        <w:rPr>
          <w:rFonts w:hint="eastAsia" w:ascii="仿宋_GB2312" w:hAnsi="宋体" w:eastAsia="仿宋_GB2312" w:cs="宋体"/>
          <w:sz w:val="32"/>
          <w:szCs w:val="32"/>
          <w:lang w:eastAsia="zh-CN"/>
        </w:rPr>
        <w:t>2</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人，年末实有</w:t>
      </w:r>
      <w:r>
        <w:rPr>
          <w:rFonts w:hint="eastAsia" w:ascii="仿宋_GB2312" w:hAnsi="宋体" w:eastAsia="仿宋_GB2312" w:cs="宋体"/>
          <w:color w:val="333333"/>
          <w:sz w:val="32"/>
          <w:szCs w:val="32"/>
          <w:shd w:val="clear" w:color="auto" w:fill="FFFFFF"/>
          <w:lang w:eastAsia="zh-CN"/>
        </w:rPr>
        <w:t>人数</w:t>
      </w:r>
      <w:r>
        <w:rPr>
          <w:rFonts w:hint="eastAsia" w:ascii="仿宋_GB2312" w:hAnsi="宋体" w:eastAsia="仿宋_GB2312" w:cs="宋体"/>
          <w:sz w:val="32"/>
          <w:szCs w:val="32"/>
          <w:lang w:eastAsia="zh-CN"/>
        </w:rPr>
        <w:t>2</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人。内设医疗执业监督、放射及生活饮用水卫生监督、公共场所监督、法制宣传稽查、办公室等</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个科室。</w:t>
      </w:r>
    </w:p>
    <w:p>
      <w:pPr>
        <w:spacing w:line="560" w:lineRule="exact"/>
        <w:ind w:firstLine="640" w:firstLineChars="200"/>
        <w:rPr>
          <w:rFonts w:hint="eastAsia" w:ascii="仿宋_GB2312" w:hAnsi="宋体" w:eastAsia="仿宋_GB2312" w:cs="宋体"/>
          <w:sz w:val="32"/>
          <w:szCs w:val="32"/>
          <w:lang w:eastAsia="zh-CN"/>
        </w:rPr>
      </w:pPr>
      <w:r>
        <w:rPr>
          <w:rFonts w:hint="eastAsia" w:ascii="宋体" w:hAnsi="宋体" w:eastAsia="宋体" w:cs="宋体"/>
          <w:b/>
          <w:color w:val="333333"/>
          <w:sz w:val="32"/>
          <w:szCs w:val="32"/>
          <w:shd w:val="clear" w:color="auto" w:fill="FFFFFF"/>
          <w:lang w:eastAsia="zh-CN"/>
        </w:rPr>
        <w:t>主要职能</w:t>
      </w:r>
      <w:r>
        <w:rPr>
          <w:rFonts w:hint="eastAsia" w:ascii="仿宋_GB2312" w:hAnsi="宋体" w:eastAsia="仿宋_GB2312" w:cs="宋体"/>
          <w:color w:val="333333"/>
          <w:sz w:val="32"/>
          <w:szCs w:val="32"/>
          <w:shd w:val="clear" w:color="auto" w:fill="FFFFFF"/>
          <w:lang w:eastAsia="zh-CN"/>
        </w:rPr>
        <w:t xml:space="preserve">  </w:t>
      </w:r>
      <w:r>
        <w:rPr>
          <w:rFonts w:hint="eastAsia" w:ascii="仿宋_GB2312" w:hAnsi="宋体" w:eastAsia="仿宋_GB2312" w:cs="宋体"/>
          <w:sz w:val="32"/>
          <w:szCs w:val="32"/>
          <w:lang w:eastAsia="zh-CN"/>
        </w:rPr>
        <w:t>贯彻执行卫生健康法律、法规、规章，负责监督卫生健康法律法规的落实情况，依法查处违法行为；负责公共场所卫生、生活饮用水卫生、学校卫生及消毒产品和涉及饮用水安全产品的监督检查；负责医疗机构、采血机构、中医服务机构及其从业人员执业活动的监督检查；依法打击非法行医和非法采供血，负责整顿和规范医疗服务秩序；负责全市用人单位职业卫生监督检查；负责医疗卫生机构的放射诊疗、职业健康检查、职业病诊断工作以及职业卫生技术服务机构的监督检查；负责医疗机构、采供血机构、疾病预防控制机构的传染病疫情报告、疫情控制措施、消毒隔离制度执行情况、医疗废物处置情况和菌（毒）种管理情况等监督检查；负责母婴保健机构服务内容和从业人员行为规范的监督，依法打击“两非”行为；负责公共卫生突发事件的调查取证和监督检查，提出行政控制和行政处罚意见；负责乡镇（街道）卫生健康综合监督执法的指导和督查；负责行政区域内卫生健康监督信息的收集、核实和上报。</w:t>
      </w:r>
    </w:p>
    <w:p>
      <w:pPr>
        <w:numPr>
          <w:ilvl w:val="0"/>
          <w:numId w:val="4"/>
        </w:numPr>
        <w:spacing w:line="360" w:lineRule="auto"/>
        <w:ind w:firstLine="640" w:firstLineChars="200"/>
        <w:jc w:val="both"/>
        <w:rPr>
          <w:rFonts w:ascii="仿宋_GB2312" w:hAnsi="宋体" w:eastAsia="仿宋_GB2312" w:cs="宋体"/>
          <w:sz w:val="32"/>
          <w:szCs w:val="32"/>
          <w:lang w:eastAsia="zh-CN"/>
        </w:rPr>
      </w:pPr>
      <w:r>
        <w:rPr>
          <w:rFonts w:hint="eastAsia" w:ascii="宋体" w:hAnsi="宋体" w:eastAsia="宋体" w:cs="宋体"/>
          <w:b/>
          <w:sz w:val="32"/>
          <w:szCs w:val="32"/>
          <w:lang w:eastAsia="zh-CN"/>
        </w:rPr>
        <w:t>工作安排</w:t>
      </w:r>
      <w:r>
        <w:rPr>
          <w:rFonts w:hint="eastAsia" w:ascii="宋体" w:hAnsi="宋体" w:eastAsia="宋体" w:cs="宋体"/>
          <w:b/>
          <w:sz w:val="32"/>
          <w:szCs w:val="32"/>
          <w:lang w:val="en-US" w:eastAsia="zh-CN"/>
        </w:rPr>
        <w:t xml:space="preserve">  </w:t>
      </w:r>
      <w:r>
        <w:rPr>
          <w:rFonts w:hint="eastAsia" w:ascii="仿宋_GB2312" w:hAnsi="宋体" w:eastAsia="仿宋_GB2312" w:cs="宋体"/>
          <w:sz w:val="32"/>
          <w:szCs w:val="32"/>
          <w:lang w:eastAsia="zh-CN"/>
        </w:rPr>
        <w:t>1、完成医疗机构、公共场所、学校及托幼机构、生活饮用水等被监督单位的日常监督检查；2、开展专项整治或专项行动：打击非法行医、传染病防治、生活饮用水专项、放射卫生监督专项、公共场所单位专项；3、查处各类卫生健康违法行为；4、组织实施公共场所、生活饮用水单位卫生行政许可工作，完成卫生许可证换发及公共场所卫生许可证复核工作，对放射诊疗许可进行年度校验；5、对乡镇、办事处社会事务办公室（卫健办）开展一次以上集中业务培训，对卫生监督协管工作开展四次督查指导及考核；6、受理职责范围内的投诉举报；7、完成湖南省卫生健康监督机构规范化建设创建；</w:t>
      </w:r>
      <w:r>
        <w:rPr>
          <w:rFonts w:hint="eastAsia" w:ascii="仿宋_GB2312" w:hAnsi="宋体" w:eastAsia="仿宋_GB2312" w:cs="宋体"/>
          <w:sz w:val="32"/>
          <w:szCs w:val="32"/>
          <w:lang w:val="en-US" w:eastAsia="zh-CN"/>
        </w:rPr>
        <w:t>8、逐步开展信息化建设。</w:t>
      </w:r>
    </w:p>
    <w:p>
      <w:pPr>
        <w:numPr>
          <w:ilvl w:val="0"/>
          <w:numId w:val="0"/>
        </w:numPr>
        <w:spacing w:line="360" w:lineRule="auto"/>
        <w:ind w:firstLine="640" w:firstLineChars="200"/>
        <w:jc w:val="both"/>
        <w:rPr>
          <w:rFonts w:hint="eastAsia" w:ascii="宋体" w:hAnsi="宋体" w:eastAsia="宋体" w:cs="宋体"/>
          <w:b/>
          <w:sz w:val="32"/>
          <w:szCs w:val="32"/>
          <w:lang w:eastAsia="zh-CN"/>
        </w:rPr>
      </w:pPr>
      <w:r>
        <w:rPr>
          <w:rFonts w:hint="eastAsia" w:ascii="宋体" w:hAnsi="宋体" w:eastAsia="宋体" w:cs="宋体"/>
          <w:b/>
          <w:sz w:val="32"/>
          <w:szCs w:val="32"/>
          <w:lang w:eastAsia="zh-CN"/>
        </w:rPr>
        <w:t>二、一般公共预算支出情况</w:t>
      </w:r>
    </w:p>
    <w:p>
      <w:pPr>
        <w:spacing w:line="360" w:lineRule="auto"/>
        <w:ind w:firstLine="640" w:firstLineChars="200"/>
        <w:jc w:val="both"/>
        <w:rPr>
          <w:rFonts w:ascii="仿宋_GB2312" w:hAnsi="宋体" w:eastAsia="仿宋_GB2312" w:cs="宋体"/>
          <w:sz w:val="32"/>
          <w:szCs w:val="32"/>
          <w:lang w:eastAsia="zh-CN"/>
        </w:rPr>
      </w:pPr>
      <w:r>
        <w:rPr>
          <w:rFonts w:hint="eastAsia" w:ascii="宋体" w:hAnsi="宋体" w:eastAsia="宋体" w:cs="宋体"/>
          <w:b/>
          <w:sz w:val="32"/>
          <w:szCs w:val="32"/>
          <w:lang w:eastAsia="zh-CN"/>
        </w:rPr>
        <w:t>（一）预算情况</w:t>
      </w:r>
      <w:r>
        <w:rPr>
          <w:rFonts w:hint="eastAsia" w:ascii="仿宋_GB2312" w:hAnsi="宋体" w:eastAsia="仿宋_GB2312" w:cs="宋体"/>
          <w:sz w:val="32"/>
          <w:szCs w:val="32"/>
          <w:lang w:eastAsia="zh-CN"/>
        </w:rPr>
        <w:t xml:space="preserve">   </w:t>
      </w:r>
    </w:p>
    <w:p>
      <w:pPr>
        <w:numPr>
          <w:ilvl w:val="0"/>
          <w:numId w:val="0"/>
        </w:numPr>
        <w:spacing w:line="360" w:lineRule="auto"/>
        <w:ind w:firstLine="640" w:firstLineChars="200"/>
        <w:jc w:val="both"/>
        <w:rPr>
          <w:rFonts w:hint="eastAsia" w:ascii="仿宋_GB2312" w:hAnsi="宋体" w:eastAsia="仿宋_GB2312" w:cs="宋体"/>
          <w:sz w:val="32"/>
          <w:szCs w:val="32"/>
          <w:lang w:eastAsia="zh-CN"/>
        </w:rPr>
      </w:pPr>
      <w:r>
        <w:rPr>
          <w:rFonts w:hint="eastAsia" w:ascii="仿宋_GB2312" w:hAnsi="宋体" w:eastAsia="仿宋_GB2312" w:cs="宋体"/>
          <w:sz w:val="32"/>
          <w:szCs w:val="32"/>
          <w:lang w:val="en-US" w:eastAsia="zh-CN"/>
        </w:rPr>
        <w:t>1、年初预算情况：</w:t>
      </w:r>
      <w:r>
        <w:rPr>
          <w:rFonts w:hint="eastAsia" w:ascii="仿宋_GB2312" w:hAnsi="宋体" w:eastAsia="仿宋_GB2312" w:cs="宋体"/>
          <w:sz w:val="32"/>
          <w:szCs w:val="32"/>
          <w:lang w:eastAsia="zh-CN"/>
        </w:rPr>
        <w:t>20</w:t>
      </w:r>
      <w:r>
        <w:rPr>
          <w:rFonts w:hint="eastAsia" w:ascii="仿宋_GB2312" w:hAnsi="宋体" w:eastAsia="仿宋_GB2312" w:cs="宋体"/>
          <w:sz w:val="32"/>
          <w:szCs w:val="32"/>
          <w:lang w:val="en-US" w:eastAsia="zh-CN"/>
        </w:rPr>
        <w:t>21</w:t>
      </w:r>
      <w:r>
        <w:rPr>
          <w:rFonts w:hint="eastAsia" w:ascii="仿宋_GB2312" w:hAnsi="宋体" w:eastAsia="仿宋_GB2312" w:cs="宋体"/>
          <w:sz w:val="32"/>
          <w:szCs w:val="32"/>
          <w:lang w:eastAsia="zh-CN"/>
        </w:rPr>
        <w:t>年年初预算总计</w:t>
      </w:r>
      <w:r>
        <w:rPr>
          <w:rFonts w:hint="eastAsia" w:ascii="仿宋_GB2312" w:hAnsi="宋体" w:eastAsia="仿宋_GB2312" w:cs="宋体"/>
          <w:sz w:val="32"/>
          <w:szCs w:val="32"/>
          <w:lang w:val="en-US" w:eastAsia="zh-CN"/>
        </w:rPr>
        <w:t>407.32</w:t>
      </w:r>
      <w:r>
        <w:rPr>
          <w:rFonts w:hint="eastAsia" w:ascii="仿宋_GB2312" w:hAnsi="宋体" w:eastAsia="仿宋_GB2312" w:cs="宋体"/>
          <w:sz w:val="32"/>
          <w:szCs w:val="32"/>
          <w:lang w:eastAsia="zh-CN"/>
        </w:rPr>
        <w:t>万元，包括基本支出</w:t>
      </w:r>
      <w:r>
        <w:rPr>
          <w:rFonts w:hint="eastAsia" w:ascii="仿宋_GB2312" w:hAnsi="宋体" w:eastAsia="仿宋_GB2312" w:cs="宋体"/>
          <w:sz w:val="32"/>
          <w:szCs w:val="32"/>
          <w:lang w:val="en-US" w:eastAsia="zh-CN"/>
        </w:rPr>
        <w:t>347.32</w:t>
      </w:r>
      <w:r>
        <w:rPr>
          <w:rFonts w:hint="eastAsia" w:ascii="仿宋_GB2312" w:hAnsi="宋体" w:eastAsia="仿宋_GB2312" w:cs="宋体"/>
          <w:sz w:val="32"/>
          <w:szCs w:val="32"/>
          <w:lang w:eastAsia="zh-CN"/>
        </w:rPr>
        <w:t>万元，其中工资福利支出</w:t>
      </w:r>
      <w:r>
        <w:rPr>
          <w:rFonts w:hint="eastAsia" w:ascii="仿宋_GB2312" w:hAnsi="宋体" w:eastAsia="仿宋_GB2312" w:cs="宋体"/>
          <w:sz w:val="32"/>
          <w:szCs w:val="32"/>
          <w:lang w:val="en-US" w:eastAsia="zh-CN"/>
        </w:rPr>
        <w:t>283.59</w:t>
      </w:r>
      <w:r>
        <w:rPr>
          <w:rFonts w:hint="eastAsia" w:ascii="仿宋_GB2312" w:hAnsi="宋体" w:eastAsia="仿宋_GB2312" w:cs="宋体"/>
          <w:sz w:val="32"/>
          <w:szCs w:val="32"/>
          <w:lang w:eastAsia="zh-CN"/>
        </w:rPr>
        <w:t>万元，商品和服务支出</w:t>
      </w:r>
      <w:r>
        <w:rPr>
          <w:rFonts w:hint="eastAsia" w:ascii="仿宋_GB2312" w:hAnsi="宋体" w:eastAsia="仿宋_GB2312" w:cs="宋体"/>
          <w:sz w:val="32"/>
          <w:szCs w:val="32"/>
          <w:lang w:val="en-US" w:eastAsia="zh-CN"/>
        </w:rPr>
        <w:t>62.07</w:t>
      </w:r>
      <w:r>
        <w:rPr>
          <w:rFonts w:hint="eastAsia" w:ascii="仿宋_GB2312" w:hAnsi="宋体" w:eastAsia="仿宋_GB2312" w:cs="宋体"/>
          <w:sz w:val="32"/>
          <w:szCs w:val="32"/>
          <w:lang w:eastAsia="zh-CN"/>
        </w:rPr>
        <w:t>万元，对个人和家庭的补助支出</w:t>
      </w:r>
      <w:r>
        <w:rPr>
          <w:rFonts w:hint="eastAsia" w:ascii="仿宋_GB2312" w:hAnsi="宋体" w:eastAsia="仿宋_GB2312" w:cs="宋体"/>
          <w:sz w:val="32"/>
          <w:szCs w:val="32"/>
          <w:lang w:val="en-US" w:eastAsia="zh-CN"/>
        </w:rPr>
        <w:t>1.66</w:t>
      </w:r>
      <w:r>
        <w:rPr>
          <w:rFonts w:hint="eastAsia" w:ascii="仿宋_GB2312" w:hAnsi="宋体" w:eastAsia="仿宋_GB2312" w:cs="宋体"/>
          <w:sz w:val="32"/>
          <w:szCs w:val="32"/>
          <w:lang w:eastAsia="zh-CN"/>
        </w:rPr>
        <w:t>万元；业务性专项支出</w:t>
      </w:r>
      <w:r>
        <w:rPr>
          <w:rFonts w:hint="eastAsia" w:ascii="仿宋_GB2312" w:hAnsi="宋体" w:eastAsia="仿宋_GB2312" w:cs="宋体"/>
          <w:sz w:val="32"/>
          <w:szCs w:val="32"/>
          <w:lang w:val="en-US" w:eastAsia="zh-CN"/>
        </w:rPr>
        <w:t>60</w:t>
      </w:r>
      <w:r>
        <w:rPr>
          <w:rFonts w:hint="eastAsia" w:ascii="仿宋_GB2312" w:hAnsi="宋体" w:eastAsia="仿宋_GB2312" w:cs="宋体"/>
          <w:sz w:val="32"/>
          <w:szCs w:val="32"/>
          <w:lang w:eastAsia="zh-CN"/>
        </w:rPr>
        <w:t>万元；</w:t>
      </w:r>
    </w:p>
    <w:p>
      <w:pPr>
        <w:numPr>
          <w:ilvl w:val="0"/>
          <w:numId w:val="0"/>
        </w:numPr>
        <w:spacing w:line="360" w:lineRule="auto"/>
        <w:ind w:firstLine="640" w:firstLineChars="200"/>
        <w:jc w:val="both"/>
        <w:rPr>
          <w:rFonts w:hint="eastAsia" w:ascii="仿宋_GB2312" w:hAnsi="仿宋" w:eastAsia="仿宋_GB2312"/>
          <w:sz w:val="32"/>
          <w:szCs w:val="32"/>
          <w:lang w:eastAsia="zh-CN"/>
        </w:rPr>
      </w:pPr>
      <w:r>
        <w:rPr>
          <w:rFonts w:hint="eastAsia" w:ascii="仿宋_GB2312" w:hAnsi="宋体" w:eastAsia="仿宋_GB2312" w:cs="宋体"/>
          <w:sz w:val="32"/>
          <w:szCs w:val="32"/>
          <w:lang w:val="en-US" w:eastAsia="zh-CN"/>
        </w:rPr>
        <w:t>2、年中追加和调整预算情况：全年</w:t>
      </w:r>
      <w:r>
        <w:rPr>
          <w:rFonts w:hint="eastAsia" w:ascii="仿宋_GB2312" w:hAnsi="宋体" w:eastAsia="仿宋_GB2312" w:cs="宋体"/>
          <w:sz w:val="32"/>
          <w:szCs w:val="32"/>
          <w:lang w:eastAsia="zh-CN"/>
        </w:rPr>
        <w:t>除工资、社保调标，</w:t>
      </w:r>
      <w:r>
        <w:rPr>
          <w:rFonts w:hint="eastAsia" w:ascii="仿宋_GB2312" w:hAnsi="仿宋" w:eastAsia="仿宋_GB2312"/>
          <w:sz w:val="32"/>
          <w:szCs w:val="32"/>
          <w:lang w:eastAsia="zh-CN"/>
        </w:rPr>
        <w:t>政府绩效奖，综治奖励等政策性调整人员经费追加</w:t>
      </w:r>
      <w:r>
        <w:rPr>
          <w:rFonts w:hint="eastAsia" w:ascii="仿宋_GB2312" w:hAnsi="仿宋" w:eastAsia="仿宋_GB2312"/>
          <w:sz w:val="32"/>
          <w:szCs w:val="32"/>
          <w:lang w:val="en-US" w:eastAsia="zh-CN"/>
        </w:rPr>
        <w:t>11.83万元</w:t>
      </w:r>
      <w:r>
        <w:rPr>
          <w:rFonts w:hint="eastAsia" w:ascii="仿宋_GB2312" w:hAnsi="仿宋" w:eastAsia="仿宋_GB2312"/>
          <w:sz w:val="32"/>
          <w:szCs w:val="32"/>
          <w:lang w:eastAsia="zh-CN"/>
        </w:rPr>
        <w:t>，</w:t>
      </w:r>
      <w:r>
        <w:rPr>
          <w:rFonts w:hint="eastAsia" w:ascii="仿宋_GB2312" w:hAnsi="宋体" w:eastAsia="仿宋_GB2312" w:cs="宋体"/>
          <w:sz w:val="32"/>
          <w:szCs w:val="32"/>
          <w:lang w:eastAsia="zh-CN"/>
        </w:rPr>
        <w:t>年中无追加和调减预算情况，</w:t>
      </w:r>
      <w:r>
        <w:rPr>
          <w:rFonts w:hint="eastAsia" w:ascii="仿宋_GB2312" w:hAnsi="仿宋" w:eastAsia="仿宋_GB2312"/>
          <w:sz w:val="32"/>
          <w:szCs w:val="32"/>
          <w:lang w:eastAsia="zh-CN"/>
        </w:rPr>
        <w:t>剔除政策性追加经费而产生的经费调整，我局的实际预算调整率为0。</w:t>
      </w:r>
    </w:p>
    <w:p>
      <w:pPr>
        <w:numPr>
          <w:ilvl w:val="0"/>
          <w:numId w:val="0"/>
        </w:numPr>
        <w:spacing w:line="360" w:lineRule="auto"/>
        <w:ind w:firstLine="640" w:firstLineChars="200"/>
        <w:jc w:val="both"/>
        <w:rPr>
          <w:rFonts w:hint="default"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3、全年总预算情况：2021年财政总预算拨款419.15万元，其中：基本支出收入388.53万元，项目支出收入30.62万元。</w:t>
      </w:r>
    </w:p>
    <w:p>
      <w:pPr>
        <w:numPr>
          <w:ilvl w:val="0"/>
          <w:numId w:val="5"/>
        </w:numPr>
        <w:spacing w:line="360" w:lineRule="auto"/>
        <w:ind w:firstLine="640" w:firstLineChars="200"/>
        <w:jc w:val="both"/>
        <w:rPr>
          <w:rFonts w:hint="eastAsia" w:ascii="宋体" w:hAnsi="宋体" w:eastAsia="宋体" w:cs="宋体"/>
          <w:b/>
          <w:sz w:val="32"/>
          <w:szCs w:val="32"/>
          <w:lang w:eastAsia="zh-CN"/>
        </w:rPr>
      </w:pPr>
      <w:r>
        <w:rPr>
          <w:rFonts w:hint="eastAsia" w:ascii="宋体" w:hAnsi="宋体" w:eastAsia="宋体" w:cs="宋体"/>
          <w:b/>
          <w:sz w:val="32"/>
          <w:szCs w:val="32"/>
          <w:lang w:eastAsia="zh-CN"/>
        </w:rPr>
        <w:t xml:space="preserve">预算执行情况  </w:t>
      </w:r>
    </w:p>
    <w:p>
      <w:pPr>
        <w:numPr>
          <w:ilvl w:val="0"/>
          <w:numId w:val="6"/>
        </w:numPr>
        <w:spacing w:line="360" w:lineRule="auto"/>
        <w:ind w:firstLine="640" w:firstLineChars="200"/>
        <w:jc w:val="both"/>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基本支出执行情况：</w:t>
      </w:r>
      <w:r>
        <w:rPr>
          <w:rFonts w:hint="eastAsia" w:ascii="仿宋_GB2312" w:hAnsi="宋体" w:eastAsia="仿宋_GB2312" w:cs="宋体"/>
          <w:sz w:val="32"/>
          <w:szCs w:val="32"/>
          <w:lang w:eastAsia="zh-CN"/>
        </w:rPr>
        <w:t>20</w:t>
      </w:r>
      <w:r>
        <w:rPr>
          <w:rFonts w:hint="eastAsia" w:ascii="仿宋_GB2312" w:hAnsi="宋体" w:eastAsia="仿宋_GB2312" w:cs="宋体"/>
          <w:sz w:val="32"/>
          <w:szCs w:val="32"/>
          <w:lang w:val="en-US" w:eastAsia="zh-CN"/>
        </w:rPr>
        <w:t>21</w:t>
      </w:r>
      <w:r>
        <w:rPr>
          <w:rFonts w:hint="eastAsia" w:ascii="仿宋_GB2312" w:hAnsi="宋体" w:eastAsia="仿宋_GB2312" w:cs="宋体"/>
          <w:sz w:val="32"/>
          <w:szCs w:val="32"/>
          <w:lang w:eastAsia="zh-CN"/>
        </w:rPr>
        <w:t>年度基本支出实际发生</w:t>
      </w:r>
      <w:r>
        <w:rPr>
          <w:rFonts w:hint="eastAsia" w:ascii="仿宋_GB2312" w:hAnsi="宋体" w:eastAsia="仿宋_GB2312" w:cs="宋体"/>
          <w:sz w:val="32"/>
          <w:szCs w:val="32"/>
          <w:lang w:val="en-US" w:eastAsia="zh-CN"/>
        </w:rPr>
        <w:t>419.15</w:t>
      </w:r>
      <w:r>
        <w:rPr>
          <w:rFonts w:hint="eastAsia" w:ascii="仿宋_GB2312" w:hAnsi="宋体" w:eastAsia="仿宋_GB2312" w:cs="宋体"/>
          <w:sz w:val="32"/>
          <w:szCs w:val="32"/>
          <w:lang w:eastAsia="zh-CN"/>
        </w:rPr>
        <w:t>万元，其中工资福利支出</w:t>
      </w:r>
      <w:r>
        <w:rPr>
          <w:rFonts w:hint="eastAsia" w:ascii="仿宋_GB2312" w:hAnsi="宋体" w:eastAsia="仿宋_GB2312" w:cs="宋体"/>
          <w:sz w:val="32"/>
          <w:szCs w:val="32"/>
          <w:lang w:val="en-US" w:eastAsia="zh-CN"/>
        </w:rPr>
        <w:t>305.91</w:t>
      </w:r>
      <w:r>
        <w:rPr>
          <w:rFonts w:hint="eastAsia" w:ascii="仿宋_GB2312" w:hAnsi="宋体" w:eastAsia="仿宋_GB2312" w:cs="宋体"/>
          <w:sz w:val="32"/>
          <w:szCs w:val="32"/>
          <w:lang w:eastAsia="zh-CN"/>
        </w:rPr>
        <w:t>万元，商品与服务支出</w:t>
      </w:r>
      <w:r>
        <w:rPr>
          <w:rFonts w:hint="eastAsia" w:ascii="仿宋_GB2312" w:hAnsi="宋体" w:eastAsia="仿宋_GB2312" w:cs="宋体"/>
          <w:sz w:val="32"/>
          <w:szCs w:val="32"/>
          <w:lang w:val="en-US" w:eastAsia="zh-CN"/>
        </w:rPr>
        <w:t>111.78</w:t>
      </w:r>
      <w:r>
        <w:rPr>
          <w:rFonts w:hint="eastAsia" w:ascii="仿宋_GB2312" w:hAnsi="宋体" w:eastAsia="仿宋_GB2312" w:cs="宋体"/>
          <w:sz w:val="32"/>
          <w:szCs w:val="32"/>
          <w:lang w:eastAsia="zh-CN"/>
        </w:rPr>
        <w:t>万元，对个人和家庭的补助支出</w:t>
      </w:r>
      <w:r>
        <w:rPr>
          <w:rFonts w:hint="eastAsia" w:ascii="仿宋_GB2312" w:hAnsi="宋体" w:eastAsia="仿宋_GB2312" w:cs="宋体"/>
          <w:sz w:val="32"/>
          <w:szCs w:val="32"/>
          <w:lang w:val="en-US" w:eastAsia="zh-CN"/>
        </w:rPr>
        <w:t>1.46</w:t>
      </w:r>
      <w:r>
        <w:rPr>
          <w:rFonts w:hint="eastAsia" w:ascii="仿宋_GB2312" w:hAnsi="宋体" w:eastAsia="仿宋_GB2312" w:cs="宋体"/>
          <w:sz w:val="32"/>
          <w:szCs w:val="32"/>
          <w:lang w:eastAsia="zh-CN"/>
        </w:rPr>
        <w:t>万元。“三公经费”年初预算</w:t>
      </w:r>
      <w:r>
        <w:rPr>
          <w:rFonts w:hint="eastAsia" w:ascii="仿宋_GB2312" w:hAnsi="宋体" w:eastAsia="仿宋_GB2312" w:cs="宋体"/>
          <w:sz w:val="32"/>
          <w:szCs w:val="32"/>
          <w:lang w:val="en-US" w:eastAsia="zh-CN"/>
        </w:rPr>
        <w:t>18</w:t>
      </w:r>
      <w:r>
        <w:rPr>
          <w:rFonts w:hint="eastAsia" w:ascii="仿宋_GB2312" w:hAnsi="宋体" w:eastAsia="仿宋_GB2312" w:cs="宋体"/>
          <w:sz w:val="32"/>
          <w:szCs w:val="32"/>
          <w:lang w:eastAsia="zh-CN"/>
        </w:rPr>
        <w:t>万元，</w:t>
      </w:r>
      <w:r>
        <w:rPr>
          <w:rFonts w:hint="eastAsia" w:ascii="仿宋_GB2312" w:hAnsi="宋体" w:eastAsia="仿宋_GB2312" w:cs="宋体"/>
          <w:sz w:val="32"/>
          <w:szCs w:val="32"/>
          <w:lang w:val="en-US" w:eastAsia="zh-CN"/>
        </w:rPr>
        <w:t>2021年度</w:t>
      </w:r>
      <w:r>
        <w:rPr>
          <w:rFonts w:hint="eastAsia" w:ascii="仿宋_GB2312" w:hAnsi="宋体" w:eastAsia="仿宋_GB2312" w:cs="宋体"/>
          <w:sz w:val="32"/>
          <w:szCs w:val="32"/>
          <w:lang w:eastAsia="zh-CN"/>
        </w:rPr>
        <w:t>“三公经费”实际支出</w:t>
      </w:r>
      <w:r>
        <w:rPr>
          <w:rFonts w:hint="eastAsia" w:ascii="仿宋_GB2312" w:hAnsi="宋体" w:eastAsia="仿宋_GB2312" w:cs="宋体"/>
          <w:sz w:val="32"/>
          <w:szCs w:val="32"/>
          <w:lang w:val="en-US" w:eastAsia="zh-CN"/>
        </w:rPr>
        <w:t>6.40</w:t>
      </w:r>
      <w:r>
        <w:rPr>
          <w:rFonts w:hint="eastAsia" w:ascii="仿宋_GB2312" w:hAnsi="宋体" w:eastAsia="仿宋_GB2312" w:cs="宋体"/>
          <w:sz w:val="32"/>
          <w:szCs w:val="32"/>
          <w:lang w:eastAsia="zh-CN"/>
        </w:rPr>
        <w:t>万元，未超过年初预算数，预算控制率</w:t>
      </w:r>
      <w:r>
        <w:rPr>
          <w:rFonts w:hint="eastAsia" w:ascii="仿宋_GB2312" w:hAnsi="宋体" w:eastAsia="仿宋_GB2312" w:cs="宋体"/>
          <w:sz w:val="32"/>
          <w:szCs w:val="32"/>
          <w:lang w:val="en-US" w:eastAsia="zh-CN"/>
        </w:rPr>
        <w:t>35.56</w:t>
      </w:r>
      <w:r>
        <w:rPr>
          <w:rFonts w:hint="eastAsia" w:ascii="仿宋_GB2312" w:hAnsi="宋体" w:eastAsia="仿宋_GB2312" w:cs="宋体"/>
          <w:sz w:val="32"/>
          <w:szCs w:val="32"/>
          <w:lang w:eastAsia="zh-CN"/>
        </w:rPr>
        <w:t>%。</w:t>
      </w:r>
    </w:p>
    <w:p>
      <w:pPr>
        <w:numPr>
          <w:ilvl w:val="0"/>
          <w:numId w:val="0"/>
        </w:numPr>
        <w:spacing w:line="360" w:lineRule="auto"/>
        <w:ind w:firstLine="640" w:firstLineChars="200"/>
        <w:jc w:val="both"/>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在预算资金管理方面，严格遵守各项规章制度，并根据市委市政府关于“过紧日子”要求，结合我局的实际情况，严格执行财务管理制度、资产管理制度、公务接待制度、会议费、培训费、差旅费管理办法、走访慰问制度，“三重一大”等相关规章制度，确保各项工作有章可循、有据可依、有据必依。同时明确了财务各岗位职责，规范会计工作秩序和财务行为。一是规范审批程序。财务报销审批坚持一支笔审核制度，所有开支坚持“先批后支再报”审批程序，重大开支项目由班子领导会议研究同意，分管领导审签，局长复核。二是加强会计核算工作。进一步强化基础性会计工作，认真做好日常报账、记账和报表编制工作，规范会计档案管理，确保会计核算工作严格、规范、有序。三是加强资产管理。严格按照规定购置、使用和处置固定资产。一般大宗办公用品采购均严格按照政府采购协议供货要求进行，日常的车辆维修、资料印刷以及办公设备也都严格按要求定点服务。对固定资产进行了盘点与清理，实现了账实相符、账证相符、账账相符的规范化要求。</w:t>
      </w:r>
    </w:p>
    <w:p>
      <w:pPr>
        <w:numPr>
          <w:ilvl w:val="0"/>
          <w:numId w:val="0"/>
        </w:numPr>
        <w:spacing w:line="360" w:lineRule="auto"/>
        <w:ind w:firstLine="640" w:firstLineChars="200"/>
        <w:jc w:val="both"/>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eastAsia="zh-CN"/>
        </w:rPr>
        <w:t>认真贯彻落实党委、政府关于改进工作作风等文件及会议精神，坚持厉行节约、反对奢侈浪费，从严从紧控制预算，切实压缩一般性支出。根据机关公务用车配备使用管理规定，对单位公车的燃料费、维修费等进行了核算控制，并对办公、印刷、差旅、会议、培训等支出进行严格控制和压缩。</w:t>
      </w:r>
    </w:p>
    <w:p>
      <w:pPr>
        <w:numPr>
          <w:ilvl w:val="0"/>
          <w:numId w:val="0"/>
        </w:numPr>
        <w:spacing w:line="360" w:lineRule="auto"/>
        <w:ind w:firstLine="640" w:firstLineChars="200"/>
        <w:jc w:val="both"/>
        <w:rPr>
          <w:rFonts w:hint="eastAsia" w:ascii="仿宋_GB2312" w:hAnsi="宋体" w:eastAsia="仿宋_GB2312" w:cs="宋体"/>
          <w:sz w:val="32"/>
          <w:szCs w:val="32"/>
          <w:lang w:eastAsia="zh-CN"/>
        </w:rPr>
      </w:pPr>
      <w:r>
        <w:rPr>
          <w:rFonts w:hint="eastAsia" w:ascii="仿宋_GB2312" w:hAnsi="宋体" w:eastAsia="仿宋_GB2312" w:cs="宋体"/>
          <w:sz w:val="32"/>
          <w:szCs w:val="32"/>
          <w:lang w:val="en-US" w:eastAsia="zh-CN"/>
        </w:rPr>
        <w:t>2、业务性专项执行情况：</w:t>
      </w:r>
      <w:r>
        <w:rPr>
          <w:rFonts w:hint="eastAsia" w:ascii="仿宋_GB2312" w:hAnsi="宋体" w:eastAsia="仿宋_GB2312" w:cs="宋体"/>
          <w:sz w:val="32"/>
          <w:szCs w:val="32"/>
          <w:lang w:eastAsia="zh-CN"/>
        </w:rPr>
        <w:t>20</w:t>
      </w:r>
      <w:r>
        <w:rPr>
          <w:rFonts w:hint="eastAsia" w:ascii="仿宋_GB2312" w:hAnsi="宋体" w:eastAsia="仿宋_GB2312" w:cs="宋体"/>
          <w:sz w:val="32"/>
          <w:szCs w:val="32"/>
          <w:lang w:val="en-US" w:eastAsia="zh-CN"/>
        </w:rPr>
        <w:t>21</w:t>
      </w:r>
      <w:r>
        <w:rPr>
          <w:rFonts w:hint="eastAsia" w:ascii="仿宋_GB2312" w:hAnsi="宋体" w:eastAsia="仿宋_GB2312" w:cs="宋体"/>
          <w:sz w:val="32"/>
          <w:szCs w:val="32"/>
          <w:lang w:eastAsia="zh-CN"/>
        </w:rPr>
        <w:t>年度</w:t>
      </w:r>
      <w:r>
        <w:rPr>
          <w:rFonts w:hint="eastAsia" w:ascii="仿宋_GB2312" w:hAnsi="宋体" w:eastAsia="仿宋_GB2312" w:cs="宋体"/>
          <w:sz w:val="32"/>
          <w:szCs w:val="32"/>
          <w:lang w:val="en-US" w:eastAsia="zh-CN"/>
        </w:rPr>
        <w:t>业务性专项实际支出合计30.62万元，</w:t>
      </w:r>
      <w:r>
        <w:rPr>
          <w:rFonts w:hint="eastAsia" w:ascii="仿宋_GB2312" w:hAnsi="宋体" w:eastAsia="仿宋_GB2312" w:cs="宋体"/>
          <w:sz w:val="32"/>
          <w:szCs w:val="32"/>
          <w:lang w:eastAsia="zh-CN"/>
        </w:rPr>
        <w:t>其中商品与服务支出</w:t>
      </w:r>
      <w:r>
        <w:rPr>
          <w:rFonts w:hint="eastAsia" w:ascii="仿宋_GB2312" w:hAnsi="宋体" w:eastAsia="仿宋_GB2312" w:cs="宋体"/>
          <w:sz w:val="32"/>
          <w:szCs w:val="32"/>
          <w:lang w:val="en-US" w:eastAsia="zh-CN"/>
        </w:rPr>
        <w:t>30.62</w:t>
      </w:r>
      <w:r>
        <w:rPr>
          <w:rFonts w:hint="eastAsia" w:ascii="仿宋_GB2312" w:hAnsi="宋体" w:eastAsia="仿宋_GB2312" w:cs="宋体"/>
          <w:sz w:val="32"/>
          <w:szCs w:val="32"/>
          <w:lang w:eastAsia="zh-CN"/>
        </w:rPr>
        <w:t>万元。</w:t>
      </w:r>
    </w:p>
    <w:p>
      <w:pPr>
        <w:numPr>
          <w:ilvl w:val="0"/>
          <w:numId w:val="0"/>
        </w:numPr>
        <w:spacing w:line="360" w:lineRule="auto"/>
        <w:ind w:firstLine="640" w:firstLineChars="200"/>
        <w:jc w:val="both"/>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为加强项目资金管理，规范财务行为，完善单位内部会计控制制度，各专项资金的使用均能严格按照规定坚持专款专用的原则，严格支出审批报销程序，做到了无虚列套取；无截留、挤占、挪用；无开支超预算或超标准等情况。</w:t>
      </w:r>
    </w:p>
    <w:p>
      <w:pPr>
        <w:numPr>
          <w:ilvl w:val="0"/>
          <w:numId w:val="6"/>
        </w:numPr>
        <w:spacing w:line="360" w:lineRule="auto"/>
        <w:ind w:left="0" w:leftChars="0" w:firstLine="640" w:firstLineChars="200"/>
        <w:jc w:val="both"/>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我局无项目性专项。</w:t>
      </w:r>
    </w:p>
    <w:p>
      <w:pPr>
        <w:numPr>
          <w:ilvl w:val="0"/>
          <w:numId w:val="0"/>
        </w:numPr>
        <w:spacing w:line="360" w:lineRule="auto"/>
        <w:ind w:firstLine="640" w:firstLineChars="200"/>
        <w:jc w:val="both"/>
        <w:rPr>
          <w:rFonts w:ascii="仿宋_GB2312" w:hAnsi="宋体" w:eastAsia="仿宋_GB2312" w:cs="宋体"/>
          <w:sz w:val="32"/>
          <w:szCs w:val="32"/>
          <w:lang w:eastAsia="zh-CN"/>
        </w:rPr>
      </w:pPr>
      <w:r>
        <w:rPr>
          <w:rFonts w:hint="eastAsia" w:ascii="宋体" w:hAnsi="宋体" w:eastAsia="宋体" w:cs="宋体"/>
          <w:b/>
          <w:sz w:val="32"/>
          <w:szCs w:val="32"/>
          <w:lang w:eastAsia="zh-CN"/>
        </w:rPr>
        <w:t>三、政府性基金预算支出情况</w:t>
      </w:r>
      <w:r>
        <w:rPr>
          <w:rFonts w:hint="eastAsia" w:ascii="仿宋_GB2312" w:hAnsi="宋体" w:eastAsia="仿宋_GB2312" w:cs="宋体"/>
          <w:sz w:val="32"/>
          <w:szCs w:val="32"/>
          <w:lang w:eastAsia="zh-CN"/>
        </w:rPr>
        <w:t xml:space="preserve">  </w:t>
      </w:r>
    </w:p>
    <w:p>
      <w:pPr>
        <w:pStyle w:val="10"/>
        <w:widowControl/>
        <w:numPr>
          <w:ilvl w:val="0"/>
          <w:numId w:val="0"/>
        </w:numPr>
        <w:spacing w:line="540" w:lineRule="exact"/>
        <w:ind w:firstLine="640" w:firstLineChars="200"/>
        <w:jc w:val="left"/>
        <w:rPr>
          <w:rFonts w:hint="eastAsia" w:ascii="宋体" w:hAnsi="宋体" w:eastAsia="宋体" w:cs="宋体"/>
          <w:b/>
          <w:sz w:val="32"/>
          <w:szCs w:val="32"/>
          <w:lang w:val="en-US" w:eastAsia="zh-CN" w:bidi="en-US"/>
        </w:rPr>
      </w:pPr>
      <w:r>
        <w:rPr>
          <w:rFonts w:hint="eastAsia" w:ascii="仿宋_GB2312" w:hAnsi="宋体" w:eastAsia="仿宋_GB2312" w:cs="宋体"/>
          <w:sz w:val="32"/>
          <w:szCs w:val="32"/>
          <w:lang w:val="en-US" w:eastAsia="zh-CN"/>
        </w:rPr>
        <w:t>我局无政府性基金预算。</w:t>
      </w:r>
    </w:p>
    <w:p>
      <w:pPr>
        <w:pStyle w:val="10"/>
        <w:widowControl/>
        <w:numPr>
          <w:ilvl w:val="0"/>
          <w:numId w:val="7"/>
        </w:numPr>
        <w:spacing w:line="540" w:lineRule="exact"/>
        <w:ind w:left="640" w:firstLine="0" w:firstLineChars="0"/>
        <w:jc w:val="left"/>
        <w:rPr>
          <w:rFonts w:hint="eastAsia" w:ascii="宋体" w:hAnsi="宋体" w:eastAsia="宋体" w:cs="宋体"/>
          <w:b/>
          <w:sz w:val="32"/>
          <w:szCs w:val="32"/>
          <w:lang w:val="en-US" w:eastAsia="zh-CN" w:bidi="en-US"/>
        </w:rPr>
      </w:pPr>
      <w:r>
        <w:rPr>
          <w:rFonts w:hint="eastAsia" w:ascii="宋体" w:hAnsi="宋体" w:eastAsia="宋体" w:cs="宋体"/>
          <w:b/>
          <w:sz w:val="32"/>
          <w:szCs w:val="32"/>
          <w:lang w:val="en-US" w:eastAsia="zh-CN" w:bidi="en-US"/>
        </w:rPr>
        <w:t>国有资本经营预算支出情况</w:t>
      </w:r>
    </w:p>
    <w:p>
      <w:pPr>
        <w:pStyle w:val="10"/>
        <w:widowControl/>
        <w:numPr>
          <w:ilvl w:val="0"/>
          <w:numId w:val="0"/>
        </w:numPr>
        <w:spacing w:line="540" w:lineRule="exact"/>
        <w:ind w:firstLine="640" w:firstLineChars="200"/>
        <w:jc w:val="left"/>
        <w:rPr>
          <w:rFonts w:hint="eastAsia" w:ascii="宋体" w:hAnsi="宋体" w:eastAsia="宋体" w:cs="宋体"/>
          <w:b/>
          <w:sz w:val="32"/>
          <w:szCs w:val="32"/>
          <w:lang w:val="en-US" w:eastAsia="zh-CN" w:bidi="en-US"/>
        </w:rPr>
      </w:pPr>
      <w:r>
        <w:rPr>
          <w:rFonts w:hint="eastAsia" w:ascii="仿宋_GB2312" w:hAnsi="宋体" w:eastAsia="仿宋_GB2312" w:cs="宋体"/>
          <w:sz w:val="32"/>
          <w:szCs w:val="32"/>
          <w:lang w:val="en-US" w:eastAsia="zh-CN"/>
        </w:rPr>
        <w:t>我局无国有资本经营预算。</w:t>
      </w:r>
    </w:p>
    <w:p>
      <w:pPr>
        <w:pStyle w:val="10"/>
        <w:widowControl/>
        <w:numPr>
          <w:ilvl w:val="0"/>
          <w:numId w:val="7"/>
        </w:numPr>
        <w:spacing w:line="540" w:lineRule="exact"/>
        <w:ind w:left="640" w:firstLine="0" w:firstLineChars="0"/>
        <w:jc w:val="left"/>
        <w:rPr>
          <w:rFonts w:hint="default" w:ascii="宋体" w:hAnsi="宋体" w:eastAsia="宋体" w:cs="宋体"/>
          <w:b/>
          <w:sz w:val="32"/>
          <w:szCs w:val="32"/>
          <w:lang w:val="en-US" w:eastAsia="zh-CN" w:bidi="en-US"/>
        </w:rPr>
      </w:pPr>
      <w:r>
        <w:rPr>
          <w:rFonts w:hint="eastAsia" w:ascii="宋体" w:hAnsi="宋体" w:eastAsia="宋体" w:cs="宋体"/>
          <w:b/>
          <w:sz w:val="32"/>
          <w:szCs w:val="32"/>
          <w:lang w:val="en-US" w:eastAsia="zh-CN" w:bidi="en-US"/>
        </w:rPr>
        <w:t>社会保险基金预算支出情况</w:t>
      </w:r>
    </w:p>
    <w:p>
      <w:pPr>
        <w:pStyle w:val="10"/>
        <w:widowControl/>
        <w:numPr>
          <w:ilvl w:val="0"/>
          <w:numId w:val="0"/>
        </w:numPr>
        <w:spacing w:line="540" w:lineRule="exact"/>
        <w:ind w:firstLine="640" w:firstLineChars="200"/>
        <w:jc w:val="left"/>
        <w:rPr>
          <w:rFonts w:hint="eastAsia" w:ascii="宋体" w:hAnsi="宋体" w:eastAsia="宋体" w:cs="宋体"/>
          <w:b/>
          <w:sz w:val="32"/>
          <w:szCs w:val="32"/>
          <w:lang w:val="en-US" w:eastAsia="zh-CN" w:bidi="en-US"/>
        </w:rPr>
      </w:pPr>
      <w:r>
        <w:rPr>
          <w:rFonts w:hint="eastAsia" w:ascii="仿宋_GB2312" w:hAnsi="宋体" w:eastAsia="仿宋_GB2312" w:cs="宋体"/>
          <w:sz w:val="32"/>
          <w:szCs w:val="32"/>
          <w:lang w:val="en-US" w:eastAsia="zh-CN"/>
        </w:rPr>
        <w:t>我局无社会保险基金预算。</w:t>
      </w:r>
    </w:p>
    <w:p>
      <w:pPr>
        <w:pStyle w:val="10"/>
        <w:widowControl/>
        <w:numPr>
          <w:ilvl w:val="0"/>
          <w:numId w:val="7"/>
        </w:numPr>
        <w:spacing w:line="540" w:lineRule="exact"/>
        <w:ind w:left="640" w:firstLine="0" w:firstLineChars="0"/>
        <w:jc w:val="left"/>
        <w:rPr>
          <w:rFonts w:hint="eastAsia" w:ascii="宋体" w:hAnsi="宋体" w:eastAsia="宋体" w:cs="宋体"/>
          <w:b/>
          <w:sz w:val="32"/>
          <w:szCs w:val="32"/>
          <w:lang w:val="en-US" w:eastAsia="zh-CN" w:bidi="en-US"/>
        </w:rPr>
      </w:pPr>
      <w:r>
        <w:rPr>
          <w:rFonts w:hint="eastAsia" w:ascii="宋体" w:hAnsi="宋体" w:eastAsia="宋体" w:cs="宋体"/>
          <w:b/>
          <w:sz w:val="32"/>
          <w:szCs w:val="32"/>
          <w:lang w:val="en-US" w:eastAsia="zh-CN" w:bidi="en-US"/>
        </w:rPr>
        <w:t>单位整体支出绩效情况</w:t>
      </w:r>
    </w:p>
    <w:p>
      <w:pPr>
        <w:pStyle w:val="10"/>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宋体" w:eastAsia="仿宋_GB2312" w:cs="宋体"/>
          <w:sz w:val="32"/>
          <w:szCs w:val="32"/>
          <w:lang w:val="en-US" w:eastAsia="zh-CN" w:bidi="en-US"/>
        </w:rPr>
      </w:pPr>
      <w:r>
        <w:rPr>
          <w:rFonts w:hint="eastAsia" w:ascii="仿宋_GB2312" w:hAnsi="宋体" w:eastAsia="仿宋_GB2312" w:cs="宋体"/>
          <w:sz w:val="32"/>
          <w:szCs w:val="32"/>
          <w:lang w:val="en-US" w:eastAsia="zh-CN" w:bidi="en-US"/>
        </w:rPr>
        <w:t>2021年，我局坚持以习近平新时代中国特色社会主义思想为指导，认真贯彻落实市委、市政府决策部署，围绕疫情防控工作重点，统筹推进监督执法工作，全面完成年度目标任务。今年，我局被评为</w:t>
      </w:r>
      <w:bookmarkStart w:id="3" w:name="_GoBack"/>
      <w:bookmarkEnd w:id="3"/>
      <w:r>
        <w:rPr>
          <w:rFonts w:hint="eastAsia" w:ascii="仿宋_GB2312" w:hAnsi="宋体" w:eastAsia="仿宋_GB2312" w:cs="宋体"/>
          <w:sz w:val="32"/>
          <w:szCs w:val="32"/>
          <w:lang w:val="en-US" w:eastAsia="zh-CN" w:bidi="en-US"/>
        </w:rPr>
        <w:t>扫黑除恶先进集体，综合民调工作位居卫健系统前列，继续保持“湖南省依法办事示范窗口单位”称号。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val="0"/>
          <w:bCs w:val="0"/>
          <w:sz w:val="32"/>
          <w:szCs w:val="32"/>
          <w:lang w:val="en-US" w:eastAsia="zh-CN"/>
        </w:rPr>
        <w:t>1.</w:t>
      </w:r>
      <w:r>
        <w:rPr>
          <w:rFonts w:hint="eastAsia" w:ascii="楷体" w:hAnsi="楷体" w:eastAsia="楷体" w:cs="楷体"/>
          <w:b w:val="0"/>
          <w:bCs w:val="0"/>
          <w:sz w:val="32"/>
          <w:szCs w:val="32"/>
        </w:rPr>
        <w:t>坚持政治引领，推进队伍建设。</w:t>
      </w:r>
      <w:r>
        <w:rPr>
          <w:rFonts w:hint="eastAsia" w:ascii="仿宋_GB2312" w:hAnsi="仿宋_GB2312" w:eastAsia="仿宋_GB2312" w:cs="仿宋_GB2312"/>
          <w:sz w:val="32"/>
          <w:szCs w:val="32"/>
        </w:rPr>
        <w:t>深入学习贯彻习近平总书记“七一”等系列重要讲话，确保党员干部内化于心、外化于行，认真履职。全年召开专题会议2次19人次，开展专题学习2场次35人次。扎实开展党史学习教育。组织了4次专题学习、2次专题宣讲，开展了一次“学史心得”和党性剖析专题研讨会，举办了一次党史知识竞赛，组织党员干部瞻仰刘少奇故居，结合工作实际，开展“我为群众办实事”实践活动。推进队伍教育整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层层签订廉政建设责任状，组织谈心谈话36人次，观看警示教育片2场次56人次。加强队伍建设。举办全市监督执法人员业务集中培训1期124人次，选送45人次参加市、省业务学习培训</w:t>
      </w:r>
      <w:r>
        <w:rPr>
          <w:rFonts w:hint="eastAsia" w:ascii="仿宋_GB2312" w:hAnsi="仿宋_GB2312" w:eastAsia="仿宋_GB2312" w:cs="仿宋_GB2312"/>
          <w:sz w:val="32"/>
          <w:szCs w:val="32"/>
          <w:lang w:val="en-US" w:eastAsia="zh-CN"/>
        </w:rPr>
        <w:t>,开展了两次层级稽查和一次专项稽查，下达执法建议书48份</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val="0"/>
          <w:bCs w:val="0"/>
          <w:sz w:val="32"/>
          <w:szCs w:val="32"/>
        </w:rPr>
        <w:t>2.坚持依法防控，保障健康安全。</w:t>
      </w:r>
      <w:r>
        <w:rPr>
          <w:rFonts w:hint="eastAsia" w:ascii="仿宋_GB2312" w:hAnsi="仿宋_GB2312" w:eastAsia="仿宋_GB2312" w:cs="仿宋_GB2312"/>
          <w:sz w:val="32"/>
          <w:szCs w:val="32"/>
        </w:rPr>
        <w:t>春节前，对全市火车站、汽车站、大型商场等重点单位进行常态化防控专项督查。为保障新冠疫苗预防接种安全，先后两次开展专项督查，检查接种单位及方舱接种点26家，就督查工作中发现的问题和隐患向市防控指挥部进行了汇报，并提出了工作建议。开展医疗机构常态化防控专项督查，重点检查发热门诊、预检分诊、核酸检测情况，下达整改意见80余份。2月，参加了市场监督管理局组织的冷链食品常态化疫情专项检查，历时1周。6月，开展了高考、学考、中考常态化防控专项巡查，检查学校共计18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为“三考”期间传染病防控和饮用水安全提供了卫生保障。</w:t>
      </w:r>
      <w:r>
        <w:rPr>
          <w:rFonts w:hint="eastAsia" w:ascii="仿宋_GB2312" w:hAnsi="仿宋_GB2312" w:eastAsia="仿宋_GB2312" w:cs="仿宋_GB2312"/>
          <w:sz w:val="32"/>
          <w:szCs w:val="32"/>
          <w:lang w:val="en-US" w:eastAsia="zh-CN"/>
        </w:rPr>
        <w:t>8月，为遏制可能出现的新冠肺炎疫情，历时15天，开展了全员、全方位不间断卫生监督应急处置，7家个体诊所被责令停业整顿，171家公共场所被责令整改，为全市实现疫情“零感染”工作目标贡献了力量。从7月开始，</w:t>
      </w:r>
      <w:r>
        <w:rPr>
          <w:rFonts w:hint="eastAsia" w:ascii="仿宋_GB2312" w:hAnsi="仿宋_GB2312" w:eastAsia="仿宋_GB2312" w:cs="仿宋_GB2312"/>
          <w:sz w:val="32"/>
          <w:szCs w:val="32"/>
        </w:rPr>
        <w:t>派出督查工作专班，为党代会、人大政协“两会”、湘乡市第五届农博会疫情防控工作保驾护航。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b w:val="0"/>
          <w:bCs w:val="0"/>
          <w:sz w:val="32"/>
          <w:szCs w:val="32"/>
        </w:rPr>
        <w:t>3.</w:t>
      </w:r>
      <w:r>
        <w:rPr>
          <w:rFonts w:hint="eastAsia" w:ascii="楷体" w:hAnsi="楷体" w:eastAsia="楷体" w:cs="楷体"/>
          <w:b w:val="0"/>
          <w:bCs w:val="0"/>
          <w:sz w:val="32"/>
          <w:szCs w:val="32"/>
          <w:lang w:eastAsia="zh-CN"/>
        </w:rPr>
        <w:t>聚焦主责主业，严格文明执法。</w:t>
      </w:r>
      <w:r>
        <w:rPr>
          <w:rFonts w:hint="eastAsia" w:ascii="仿宋_GB2312" w:hAnsi="仿宋_GB2312" w:eastAsia="仿宋_GB2312" w:cs="仿宋_GB2312"/>
          <w:sz w:val="32"/>
          <w:szCs w:val="32"/>
          <w:lang w:eastAsia="zh-CN"/>
        </w:rPr>
        <w:t>我局开展了预防接种种、打击非法行医、非法医疗美容服务整治、传染病防控、生活饮用水、消毒产品、职业卫生、公共场所通风系统等8个专项检查及行动。全年办理行政处罚案件85例，信息系统录入85例，入库非税收入60.63万元。双随机监督抽检任务134单，任务关闭12单，完成122单，完结率100%，查处案件23例，案件查处率为18.85%；自筹资金4.65万元，委托第三方检测公司完成50单双随机检测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）巩固扫黑除恶专项斗争成果，继续保持打击非法行医的高压态势，全年立案查处无证行医案件</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lang w:eastAsia="zh-CN"/>
        </w:rPr>
        <w:t>起，移送公安机关2起，依法取缔、查封诊所1家。与往年相比，案件数量持续下降。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）以预检分诊、发热门诊、预防接种、医疗废物（水）、核酸检测等为重点，开展医疗机构传染病专项监督执法，下达卫生监督意见书300多份，查处违法案件1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例，疫情防控期间，市电视台以“擅自收治发热病人 城区一诊所被令关停整顿”为题报道我局执法工作，取得了较好的社会影响，保障了疫情防控措施落地生效。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）开展消毒产品专项整治行动，抽查经营单位</w:t>
      </w:r>
      <w:r>
        <w:rPr>
          <w:rFonts w:hint="eastAsia" w:ascii="仿宋_GB2312" w:hAnsi="仿宋_GB2312" w:eastAsia="仿宋_GB2312" w:cs="仿宋_GB2312"/>
          <w:sz w:val="32"/>
          <w:szCs w:val="32"/>
          <w:lang w:val="en-US" w:eastAsia="zh-CN"/>
        </w:rPr>
        <w:t>21家，检查消毒产品43个，2家经营单位消毒产品因违规宣传疗效被立案查处，不合格产品全部下架停止销售。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）开展生活饮用水专项整治行动，检查集中式供水单位（包括直饮水、自建设施供水）、二次供水单位共计3</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家，抽检直饮水样</w:t>
      </w:r>
      <w:r>
        <w:rPr>
          <w:rFonts w:hint="eastAsia" w:ascii="仿宋_GB2312" w:hAnsi="仿宋_GB2312" w:eastAsia="仿宋_GB2312" w:cs="仿宋_GB2312"/>
          <w:sz w:val="32"/>
          <w:szCs w:val="32"/>
          <w:lang w:val="en-US" w:eastAsia="zh-CN"/>
        </w:rPr>
        <w:t>10个，合格率为100%，抽检农村学校水样167个，其中3所</w:t>
      </w:r>
      <w:r>
        <w:rPr>
          <w:rFonts w:hint="eastAsia" w:ascii="仿宋_GB2312" w:hAnsi="仿宋_GB2312" w:eastAsia="仿宋_GB2312" w:cs="仿宋_GB2312"/>
          <w:sz w:val="32"/>
          <w:szCs w:val="32"/>
          <w:lang w:eastAsia="zh-CN"/>
        </w:rPr>
        <w:t>自建设施供水的农村学校，因水质抽检不合格被立案查处，我市今年未发生因水质污染导致的突发公共卫生事件。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）为保障劳动者职业健康权益，对存在职业危害因素的26家用人单位进行监督执法检查，</w:t>
      </w:r>
      <w:r>
        <w:rPr>
          <w:rFonts w:hint="eastAsia" w:ascii="仿宋_GB2312" w:hAnsi="仿宋_GB2312" w:eastAsia="仿宋_GB2312" w:cs="仿宋_GB2312"/>
          <w:sz w:val="32"/>
          <w:szCs w:val="32"/>
          <w:lang w:val="en-US" w:eastAsia="zh-CN"/>
        </w:rPr>
        <w:t>立案查处11家，其中10家被处以警告的行政处罚</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lang w:val="en-US" w:eastAsia="zh-CN"/>
        </w:rPr>
        <w:t>25家放射诊疗机构开展监督检查，1家口腔诊所和1家乡镇卫生院因违法开展放射诊疗工作被立案查处。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）结合创文、创卫、新冠疫情防控等工作要求，对全市公共场所开展拉网式全方位监督检查，</w:t>
      </w:r>
      <w:r>
        <w:rPr>
          <w:rFonts w:hint="eastAsia" w:ascii="仿宋_GB2312" w:hAnsi="仿宋_GB2312" w:eastAsia="仿宋_GB2312" w:cs="仿宋_GB2312"/>
          <w:sz w:val="32"/>
          <w:szCs w:val="32"/>
          <w:lang w:val="en-US" w:eastAsia="zh-CN"/>
        </w:rPr>
        <w:t>查处违法案件13例，</w:t>
      </w:r>
      <w:r>
        <w:rPr>
          <w:rFonts w:hint="eastAsia" w:ascii="仿宋_GB2312" w:hAnsi="仿宋_GB2312" w:eastAsia="仿宋_GB2312" w:cs="仿宋_GB2312"/>
          <w:sz w:val="32"/>
          <w:szCs w:val="32"/>
          <w:lang w:eastAsia="zh-CN"/>
        </w:rPr>
        <w:t>排查非法医疗美容线索</w:t>
      </w:r>
      <w:r>
        <w:rPr>
          <w:rFonts w:hint="eastAsia" w:ascii="仿宋_GB2312" w:hAnsi="仿宋_GB2312" w:eastAsia="仿宋_GB2312" w:cs="仿宋_GB2312"/>
          <w:sz w:val="32"/>
          <w:szCs w:val="32"/>
          <w:lang w:val="en-US" w:eastAsia="zh-CN"/>
        </w:rPr>
        <w:t>4起；</w:t>
      </w:r>
      <w:r>
        <w:rPr>
          <w:rFonts w:hint="eastAsia" w:ascii="仿宋_GB2312" w:hAnsi="仿宋_GB2312" w:eastAsia="仿宋_GB2312" w:cs="仿宋_GB2312"/>
          <w:sz w:val="32"/>
          <w:szCs w:val="32"/>
          <w:lang w:eastAsia="zh-CN"/>
        </w:rPr>
        <w:t>多次组织公共场所卫生管理负责人进行线上业务培训，提高经营业主卫生管理水平，全年未发生公共场所健康危害事故，完成省级卫生城市复审迎检任务。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4.坚持服务并重，防范风险隐患。</w:t>
      </w:r>
      <w:r>
        <w:rPr>
          <w:rFonts w:hint="eastAsia" w:ascii="仿宋_GB2312" w:hAnsi="仿宋_GB2312" w:eastAsia="仿宋_GB2312" w:cs="仿宋_GB2312"/>
          <w:sz w:val="32"/>
          <w:szCs w:val="32"/>
          <w:lang w:val="en-US" w:eastAsia="zh-CN"/>
        </w:rPr>
        <w:t>一是全面落实行政许可“一站式”办理，承担的10个许可项目全部入驻政务大厅，公共场所实施承诺许可，全年新许可47家，换发证65家，放射诊疗和生活饮用水换发证分别为2家、6家。二是持续推进乡镇办协管工作，及时发现问题，上报违法线索。</w:t>
      </w:r>
      <w:r>
        <w:rPr>
          <w:rFonts w:hint="eastAsia" w:ascii="仿宋_GB2312" w:hAnsi="仿宋_GB2312" w:eastAsia="仿宋_GB2312" w:cs="仿宋_GB2312"/>
          <w:sz w:val="32"/>
          <w:szCs w:val="32"/>
          <w:lang w:eastAsia="zh-CN"/>
        </w:rPr>
        <w:t>全年完成巡查</w:t>
      </w:r>
      <w:r>
        <w:rPr>
          <w:rFonts w:hint="eastAsia" w:ascii="仿宋_GB2312" w:hAnsi="仿宋_GB2312" w:eastAsia="仿宋_GB2312" w:cs="仿宋_GB2312"/>
          <w:sz w:val="32"/>
          <w:szCs w:val="32"/>
          <w:lang w:val="en-US" w:eastAsia="zh-CN"/>
        </w:rPr>
        <w:t>3253家次，上报协管信息 44条。三是认真做好投诉举报工作，化解社会矛盾。受理11例，立案查处2例，妥善解决3起生活美容和医疗美容消费维权纠纷，做到“有诉必应、有应必回、有案必查、有查必果”。</w:t>
      </w:r>
    </w:p>
    <w:p>
      <w:pPr>
        <w:pStyle w:val="10"/>
        <w:widowControl/>
        <w:numPr>
          <w:ilvl w:val="0"/>
          <w:numId w:val="0"/>
        </w:numPr>
        <w:spacing w:line="540" w:lineRule="exact"/>
        <w:ind w:firstLine="640" w:firstLineChars="200"/>
        <w:jc w:val="left"/>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从整体情况来看，我局按照年初的目标管理方案，顺利完成了各项工作任务，取得了良好的社会效果。</w:t>
      </w:r>
    </w:p>
    <w:p>
      <w:pPr>
        <w:pStyle w:val="10"/>
        <w:widowControl/>
        <w:numPr>
          <w:ilvl w:val="0"/>
          <w:numId w:val="7"/>
        </w:numPr>
        <w:spacing w:line="540" w:lineRule="exact"/>
        <w:ind w:left="640" w:leftChars="0" w:firstLine="0" w:firstLineChars="0"/>
        <w:jc w:val="left"/>
        <w:rPr>
          <w:rFonts w:hint="eastAsia" w:ascii="宋体" w:hAnsi="宋体" w:eastAsia="宋体" w:cs="宋体"/>
          <w:b/>
          <w:sz w:val="32"/>
          <w:szCs w:val="32"/>
          <w:lang w:val="en-US" w:eastAsia="zh-CN" w:bidi="en-US"/>
        </w:rPr>
      </w:pPr>
      <w:r>
        <w:rPr>
          <w:rFonts w:hint="eastAsia" w:ascii="宋体" w:hAnsi="宋体" w:eastAsia="宋体" w:cs="宋体"/>
          <w:b/>
          <w:sz w:val="32"/>
          <w:szCs w:val="32"/>
          <w:lang w:val="en-US" w:eastAsia="zh-CN" w:bidi="en-US"/>
        </w:rPr>
        <w:t>存在的问题及原因分析</w:t>
      </w:r>
    </w:p>
    <w:p>
      <w:pPr>
        <w:pStyle w:val="10"/>
        <w:widowControl/>
        <w:numPr>
          <w:ilvl w:val="0"/>
          <w:numId w:val="8"/>
        </w:numPr>
        <w:spacing w:line="540" w:lineRule="exact"/>
        <w:ind w:firstLine="640" w:firstLineChars="200"/>
        <w:jc w:val="left"/>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因财政资金紧张，资金的安排不能及时到位，执法力度不够；2、经常性项目支出预算细化程度不够，在预算执行过程中容易引起偏差；3、</w:t>
      </w:r>
    </w:p>
    <w:p>
      <w:pPr>
        <w:pStyle w:val="10"/>
        <w:widowControl/>
        <w:numPr>
          <w:ilvl w:val="0"/>
          <w:numId w:val="0"/>
        </w:numPr>
        <w:spacing w:line="540" w:lineRule="exact"/>
        <w:jc w:val="left"/>
        <w:rPr>
          <w:rFonts w:hint="eastAsia" w:ascii="仿宋_GB2312" w:hAnsi="宋体" w:eastAsia="仿宋_GB2312" w:cs="宋体"/>
          <w:kern w:val="0"/>
          <w:sz w:val="32"/>
          <w:szCs w:val="32"/>
          <w:lang w:val="en-US" w:eastAsia="zh-CN" w:bidi="en-US"/>
        </w:rPr>
      </w:pPr>
      <w:r>
        <w:rPr>
          <w:rFonts w:hint="eastAsia" w:ascii="仿宋_GB2312" w:hAnsi="宋体" w:eastAsia="仿宋_GB2312" w:cs="宋体"/>
          <w:kern w:val="0"/>
          <w:sz w:val="32"/>
          <w:szCs w:val="32"/>
          <w:lang w:val="en-US" w:eastAsia="zh-CN" w:bidi="en-US"/>
        </w:rPr>
        <w:t>预算编制不够精确，财务管理工作水平有待进一步加强。</w:t>
      </w:r>
    </w:p>
    <w:p>
      <w:pPr>
        <w:numPr>
          <w:ilvl w:val="0"/>
          <w:numId w:val="0"/>
        </w:numPr>
        <w:spacing w:line="360" w:lineRule="auto"/>
        <w:ind w:firstLine="640" w:firstLineChars="200"/>
        <w:jc w:val="both"/>
        <w:rPr>
          <w:rFonts w:hint="eastAsia" w:ascii="宋体" w:hAnsi="宋体" w:eastAsia="宋体" w:cs="宋体"/>
          <w:b/>
          <w:bCs w:val="0"/>
          <w:sz w:val="32"/>
          <w:szCs w:val="32"/>
          <w:lang w:eastAsia="zh-CN"/>
        </w:rPr>
      </w:pPr>
      <w:r>
        <w:rPr>
          <w:rFonts w:hint="eastAsia" w:ascii="宋体" w:hAnsi="宋体" w:eastAsia="宋体" w:cs="宋体"/>
          <w:b/>
          <w:bCs w:val="0"/>
          <w:sz w:val="32"/>
          <w:szCs w:val="32"/>
          <w:lang w:eastAsia="zh-CN"/>
        </w:rPr>
        <w:t>八、下一步改进措施</w:t>
      </w:r>
    </w:p>
    <w:p>
      <w:pPr>
        <w:numPr>
          <w:ilvl w:val="0"/>
          <w:numId w:val="0"/>
        </w:numPr>
        <w:spacing w:line="360" w:lineRule="auto"/>
        <w:ind w:firstLine="640" w:firstLineChars="200"/>
        <w:jc w:val="both"/>
        <w:rPr>
          <w:rFonts w:hint="eastAsia" w:ascii="仿宋_GB2312" w:hAnsi="宋体" w:eastAsia="仿宋_GB2312" w:cs="宋体"/>
          <w:kern w:val="0"/>
          <w:sz w:val="32"/>
          <w:szCs w:val="32"/>
          <w:lang w:val="en-US" w:eastAsia="zh-CN" w:bidi="en-US"/>
        </w:rPr>
      </w:pPr>
      <w:r>
        <w:rPr>
          <w:rFonts w:hint="eastAsia" w:ascii="仿宋_GB2312" w:hAnsi="宋体" w:eastAsia="仿宋_GB2312" w:cs="宋体"/>
          <w:kern w:val="0"/>
          <w:sz w:val="32"/>
          <w:szCs w:val="32"/>
          <w:lang w:val="en-US" w:eastAsia="zh-CN" w:bidi="en-US"/>
        </w:rPr>
        <w:t>1、加强与财政部门的沟通以便及时保障资金的拨付；2、在今后年度的预算执行过程中，从预算执行的源头抓起，强化各业务科室的零基预算意识，细化经常性项目支出预算，重点强调按工作进程使用对应的资金；3、科学合理编制预算，预算编制前要进行充分的调研，按照量入为出、收支平衡、统筹兼顾的原则，合理安排预算收支，使得预算编制更具科学性。加强绩效管理，通过内部培训学习、多向财政和绩效管理先进单位交流等方式提高单位绩效管理工作水平，以绩效管理为抓手，不断提高财政资金的使用效率。</w:t>
      </w:r>
    </w:p>
    <w:p>
      <w:pPr>
        <w:numPr>
          <w:ilvl w:val="0"/>
          <w:numId w:val="0"/>
        </w:numPr>
        <w:spacing w:line="360" w:lineRule="auto"/>
        <w:ind w:firstLine="640" w:firstLineChars="200"/>
        <w:jc w:val="both"/>
        <w:rPr>
          <w:rFonts w:hint="eastAsia" w:ascii="宋体" w:hAnsi="宋体" w:eastAsia="宋体" w:cs="宋体"/>
          <w:b/>
          <w:bCs w:val="0"/>
          <w:sz w:val="32"/>
          <w:szCs w:val="32"/>
          <w:lang w:eastAsia="zh-CN"/>
        </w:rPr>
      </w:pPr>
      <w:r>
        <w:rPr>
          <w:rFonts w:hint="eastAsia" w:ascii="宋体" w:hAnsi="宋体" w:eastAsia="宋体" w:cs="宋体"/>
          <w:b/>
          <w:bCs w:val="0"/>
          <w:sz w:val="32"/>
          <w:szCs w:val="32"/>
          <w:lang w:eastAsia="zh-CN"/>
        </w:rPr>
        <w:t>九、其他需要说明的情况</w:t>
      </w:r>
    </w:p>
    <w:p>
      <w:pPr>
        <w:numPr>
          <w:ilvl w:val="0"/>
          <w:numId w:val="0"/>
        </w:numPr>
        <w:spacing w:line="360" w:lineRule="auto"/>
        <w:ind w:firstLine="640" w:firstLineChars="200"/>
        <w:jc w:val="both"/>
        <w:rPr>
          <w:rFonts w:hint="default" w:ascii="仿宋_GB2312" w:hAnsi="宋体" w:eastAsia="仿宋_GB2312" w:cs="宋体"/>
          <w:kern w:val="0"/>
          <w:sz w:val="32"/>
          <w:szCs w:val="32"/>
          <w:lang w:val="en-US" w:eastAsia="zh-CN" w:bidi="en-US"/>
        </w:rPr>
      </w:pPr>
      <w:r>
        <w:rPr>
          <w:rFonts w:hint="eastAsia" w:ascii="仿宋_GB2312" w:hAnsi="宋体" w:eastAsia="仿宋_GB2312" w:cs="宋体"/>
          <w:kern w:val="0"/>
          <w:sz w:val="32"/>
          <w:szCs w:val="32"/>
          <w:lang w:val="en-US" w:eastAsia="zh-CN" w:bidi="en-US"/>
        </w:rPr>
        <w:t>无其他需需说明的情况。</w:t>
      </w:r>
    </w:p>
    <w:p>
      <w:pPr>
        <w:numPr>
          <w:ilvl w:val="0"/>
          <w:numId w:val="0"/>
        </w:numPr>
        <w:jc w:val="left"/>
        <w:rPr>
          <w:rFonts w:hint="eastAsia" w:cs="黑体" w:asciiTheme="minorEastAsia" w:hAnsiTheme="minorEastAsia"/>
          <w:color w:val="000000"/>
          <w:kern w:val="0"/>
          <w:sz w:val="32"/>
          <w:szCs w:val="32"/>
          <w:lang w:eastAsia="zh-CN"/>
        </w:rPr>
      </w:pP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小标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D26E04"/>
    <w:multiLevelType w:val="singleLevel"/>
    <w:tmpl w:val="9BD26E04"/>
    <w:lvl w:ilvl="0" w:tentative="0">
      <w:start w:val="2"/>
      <w:numFmt w:val="chineseCounting"/>
      <w:suff w:val="nothing"/>
      <w:lvlText w:val="（%1）"/>
      <w:lvlJc w:val="left"/>
      <w:rPr>
        <w:rFonts w:hint="eastAsia"/>
      </w:rPr>
    </w:lvl>
  </w:abstractNum>
  <w:abstractNum w:abstractNumId="1">
    <w:nsid w:val="D3155C34"/>
    <w:multiLevelType w:val="singleLevel"/>
    <w:tmpl w:val="D3155C34"/>
    <w:lvl w:ilvl="0" w:tentative="0">
      <w:start w:val="1"/>
      <w:numFmt w:val="decimal"/>
      <w:suff w:val="nothing"/>
      <w:lvlText w:val="%1、"/>
      <w:lvlJc w:val="left"/>
    </w:lvl>
  </w:abstractNum>
  <w:abstractNum w:abstractNumId="2">
    <w:nsid w:val="0A423183"/>
    <w:multiLevelType w:val="singleLevel"/>
    <w:tmpl w:val="0A423183"/>
    <w:lvl w:ilvl="0" w:tentative="0">
      <w:start w:val="1"/>
      <w:numFmt w:val="chineseCounting"/>
      <w:suff w:val="nothing"/>
      <w:lvlText w:val="%1、"/>
      <w:lvlJc w:val="left"/>
      <w:rPr>
        <w:rFonts w:hint="eastAsia"/>
      </w:rPr>
    </w:lvl>
  </w:abstractNum>
  <w:abstractNum w:abstractNumId="3">
    <w:nsid w:val="0F89B408"/>
    <w:multiLevelType w:val="singleLevel"/>
    <w:tmpl w:val="0F89B408"/>
    <w:lvl w:ilvl="0" w:tentative="0">
      <w:start w:val="1"/>
      <w:numFmt w:val="chineseCounting"/>
      <w:suff w:val="nothing"/>
      <w:lvlText w:val="（%1）"/>
      <w:lvlJc w:val="left"/>
      <w:rPr>
        <w:rFonts w:hint="eastAsia"/>
        <w:lang w:val="en-US"/>
      </w:rPr>
    </w:lvl>
  </w:abstractNum>
  <w:abstractNum w:abstractNumId="4">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D97211F"/>
    <w:multiLevelType w:val="singleLevel"/>
    <w:tmpl w:val="4D97211F"/>
    <w:lvl w:ilvl="0" w:tentative="0">
      <w:start w:val="1"/>
      <w:numFmt w:val="decimal"/>
      <w:suff w:val="nothing"/>
      <w:lvlText w:val="%1、"/>
      <w:lvlJc w:val="left"/>
    </w:lvl>
  </w:abstractNum>
  <w:abstractNum w:abstractNumId="6">
    <w:nsid w:val="63AB1451"/>
    <w:multiLevelType w:val="singleLevel"/>
    <w:tmpl w:val="63AB1451"/>
    <w:lvl w:ilvl="0" w:tentative="0">
      <w:start w:val="4"/>
      <w:numFmt w:val="chineseCounting"/>
      <w:suff w:val="nothing"/>
      <w:lvlText w:val="%1、"/>
      <w:lvlJc w:val="left"/>
      <w:rPr>
        <w:rFonts w:hint="eastAsia"/>
      </w:rPr>
    </w:lvl>
  </w:abstractNum>
  <w:abstractNum w:abstractNumId="7">
    <w:nsid w:val="705BE3E8"/>
    <w:multiLevelType w:val="singleLevel"/>
    <w:tmpl w:val="705BE3E8"/>
    <w:lvl w:ilvl="0" w:tentative="0">
      <w:start w:val="3"/>
      <w:numFmt w:val="decimal"/>
      <w:suff w:val="nothing"/>
      <w:lvlText w:val="%1、"/>
      <w:lvlJc w:val="left"/>
    </w:lvl>
  </w:abstractNum>
  <w:num w:numId="1">
    <w:abstractNumId w:val="4"/>
  </w:num>
  <w:num w:numId="2">
    <w:abstractNumId w:val="7"/>
  </w:num>
  <w:num w:numId="3">
    <w:abstractNumId w:val="2"/>
  </w:num>
  <w:num w:numId="4">
    <w:abstractNumId w:val="3"/>
  </w:num>
  <w:num w:numId="5">
    <w:abstractNumId w:val="0"/>
  </w:num>
  <w:num w:numId="6">
    <w:abstractNumId w:val="5"/>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wNDMzMjg2M2QwOTA1OWI2MzFjZDFmYjZiNjk4NmMifQ=="/>
  </w:docVars>
  <w:rsids>
    <w:rsidRoot w:val="004506F9"/>
    <w:rsid w:val="0002229B"/>
    <w:rsid w:val="000273BD"/>
    <w:rsid w:val="000415B7"/>
    <w:rsid w:val="00041E3F"/>
    <w:rsid w:val="00055DAA"/>
    <w:rsid w:val="00061F7B"/>
    <w:rsid w:val="000658A3"/>
    <w:rsid w:val="00074155"/>
    <w:rsid w:val="000749E3"/>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941F2"/>
    <w:rsid w:val="007C4539"/>
    <w:rsid w:val="007F3657"/>
    <w:rsid w:val="00812ED5"/>
    <w:rsid w:val="008277D9"/>
    <w:rsid w:val="0084478C"/>
    <w:rsid w:val="0086638C"/>
    <w:rsid w:val="008A3E8D"/>
    <w:rsid w:val="009237C4"/>
    <w:rsid w:val="009269A2"/>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16FE2"/>
    <w:rsid w:val="00E209CF"/>
    <w:rsid w:val="00E37D6C"/>
    <w:rsid w:val="00E55B68"/>
    <w:rsid w:val="00E67BE6"/>
    <w:rsid w:val="00E8683C"/>
    <w:rsid w:val="00EA2B72"/>
    <w:rsid w:val="00EB7F77"/>
    <w:rsid w:val="00F74360"/>
    <w:rsid w:val="00FB462F"/>
    <w:rsid w:val="00FE16FA"/>
    <w:rsid w:val="00FE328A"/>
    <w:rsid w:val="00FE6269"/>
    <w:rsid w:val="00FF5CD6"/>
    <w:rsid w:val="014F6641"/>
    <w:rsid w:val="02E85DE6"/>
    <w:rsid w:val="030121EC"/>
    <w:rsid w:val="030B47EA"/>
    <w:rsid w:val="03360643"/>
    <w:rsid w:val="034B2E38"/>
    <w:rsid w:val="037E4FBC"/>
    <w:rsid w:val="03A82039"/>
    <w:rsid w:val="03E01910"/>
    <w:rsid w:val="03E56DE9"/>
    <w:rsid w:val="042A1A6C"/>
    <w:rsid w:val="0433224A"/>
    <w:rsid w:val="045C67C3"/>
    <w:rsid w:val="04A86794"/>
    <w:rsid w:val="04DC429F"/>
    <w:rsid w:val="05A30A30"/>
    <w:rsid w:val="05C25634"/>
    <w:rsid w:val="06B106C0"/>
    <w:rsid w:val="06EB1CFC"/>
    <w:rsid w:val="075F3EF3"/>
    <w:rsid w:val="07796255"/>
    <w:rsid w:val="079254DA"/>
    <w:rsid w:val="079528D4"/>
    <w:rsid w:val="07F4584C"/>
    <w:rsid w:val="08153DD4"/>
    <w:rsid w:val="08CD3B04"/>
    <w:rsid w:val="091F2D9D"/>
    <w:rsid w:val="093D4E7B"/>
    <w:rsid w:val="097D0254"/>
    <w:rsid w:val="09C63218"/>
    <w:rsid w:val="09D6175B"/>
    <w:rsid w:val="09D92E75"/>
    <w:rsid w:val="09E07400"/>
    <w:rsid w:val="0A8D3D36"/>
    <w:rsid w:val="0AB23739"/>
    <w:rsid w:val="0B021205"/>
    <w:rsid w:val="0B9F1C6E"/>
    <w:rsid w:val="0BA33248"/>
    <w:rsid w:val="0BDA71BE"/>
    <w:rsid w:val="0C030754"/>
    <w:rsid w:val="0C1F175D"/>
    <w:rsid w:val="0C3A723F"/>
    <w:rsid w:val="0CAF7C91"/>
    <w:rsid w:val="0D164A0E"/>
    <w:rsid w:val="0DBD72AE"/>
    <w:rsid w:val="0DE330F0"/>
    <w:rsid w:val="0EE01411"/>
    <w:rsid w:val="0F473CFA"/>
    <w:rsid w:val="0F5D5FB2"/>
    <w:rsid w:val="0F890F70"/>
    <w:rsid w:val="0F9F1FA4"/>
    <w:rsid w:val="0FC26649"/>
    <w:rsid w:val="0FC4644C"/>
    <w:rsid w:val="10142F30"/>
    <w:rsid w:val="10686DD7"/>
    <w:rsid w:val="1099282B"/>
    <w:rsid w:val="109D286D"/>
    <w:rsid w:val="10EA6FD8"/>
    <w:rsid w:val="10F642AD"/>
    <w:rsid w:val="11230F50"/>
    <w:rsid w:val="118B74F6"/>
    <w:rsid w:val="11BC387F"/>
    <w:rsid w:val="11D02E86"/>
    <w:rsid w:val="11D37920"/>
    <w:rsid w:val="12121D48"/>
    <w:rsid w:val="124E4E5A"/>
    <w:rsid w:val="12555A81"/>
    <w:rsid w:val="12921315"/>
    <w:rsid w:val="12F17558"/>
    <w:rsid w:val="12F873DF"/>
    <w:rsid w:val="13545D39"/>
    <w:rsid w:val="14024FE7"/>
    <w:rsid w:val="14107B8C"/>
    <w:rsid w:val="14795A57"/>
    <w:rsid w:val="14A44C48"/>
    <w:rsid w:val="14E46C49"/>
    <w:rsid w:val="15B025D8"/>
    <w:rsid w:val="15E30B51"/>
    <w:rsid w:val="161A49C4"/>
    <w:rsid w:val="1672275E"/>
    <w:rsid w:val="167D1103"/>
    <w:rsid w:val="168B3820"/>
    <w:rsid w:val="16A448E1"/>
    <w:rsid w:val="16C44DC9"/>
    <w:rsid w:val="16DC051F"/>
    <w:rsid w:val="16E21AC2"/>
    <w:rsid w:val="16EF0C82"/>
    <w:rsid w:val="170E45A5"/>
    <w:rsid w:val="1768590F"/>
    <w:rsid w:val="178021F4"/>
    <w:rsid w:val="17B40B54"/>
    <w:rsid w:val="180C0F2C"/>
    <w:rsid w:val="181E527B"/>
    <w:rsid w:val="187F1785"/>
    <w:rsid w:val="18AC4C2F"/>
    <w:rsid w:val="18ED07C2"/>
    <w:rsid w:val="192449E3"/>
    <w:rsid w:val="19782558"/>
    <w:rsid w:val="1A2C6C3F"/>
    <w:rsid w:val="1A2D7A44"/>
    <w:rsid w:val="1A5B79AD"/>
    <w:rsid w:val="1A704944"/>
    <w:rsid w:val="1B1738D4"/>
    <w:rsid w:val="1BD71CB0"/>
    <w:rsid w:val="1BE0016A"/>
    <w:rsid w:val="1BE25F66"/>
    <w:rsid w:val="1C19367C"/>
    <w:rsid w:val="1C3709A6"/>
    <w:rsid w:val="1C5D17BA"/>
    <w:rsid w:val="1CD44BBE"/>
    <w:rsid w:val="1CDF0421"/>
    <w:rsid w:val="1D7414B2"/>
    <w:rsid w:val="1D8B67FB"/>
    <w:rsid w:val="1D9546B0"/>
    <w:rsid w:val="1DE76AC8"/>
    <w:rsid w:val="1DEE2687"/>
    <w:rsid w:val="1ECD61C2"/>
    <w:rsid w:val="1EF02DBA"/>
    <w:rsid w:val="1F090916"/>
    <w:rsid w:val="1F281D26"/>
    <w:rsid w:val="1FE81483"/>
    <w:rsid w:val="202F0FD5"/>
    <w:rsid w:val="20CF2B0F"/>
    <w:rsid w:val="21650E77"/>
    <w:rsid w:val="21F4265F"/>
    <w:rsid w:val="223631D9"/>
    <w:rsid w:val="22665141"/>
    <w:rsid w:val="226A23D0"/>
    <w:rsid w:val="226D2C96"/>
    <w:rsid w:val="22CA3FDB"/>
    <w:rsid w:val="23007343"/>
    <w:rsid w:val="234303F1"/>
    <w:rsid w:val="234C4337"/>
    <w:rsid w:val="249E0BC2"/>
    <w:rsid w:val="24B65F0C"/>
    <w:rsid w:val="24FF28EB"/>
    <w:rsid w:val="25115838"/>
    <w:rsid w:val="26170C2C"/>
    <w:rsid w:val="26D76895"/>
    <w:rsid w:val="27A97FAA"/>
    <w:rsid w:val="28036E5A"/>
    <w:rsid w:val="29494DB0"/>
    <w:rsid w:val="29732D2E"/>
    <w:rsid w:val="299D58EC"/>
    <w:rsid w:val="29E16759"/>
    <w:rsid w:val="29EC68FD"/>
    <w:rsid w:val="2A5A6536"/>
    <w:rsid w:val="2A685EFA"/>
    <w:rsid w:val="2A9D7F89"/>
    <w:rsid w:val="2B361B54"/>
    <w:rsid w:val="2B391645"/>
    <w:rsid w:val="2B853357"/>
    <w:rsid w:val="2B89464E"/>
    <w:rsid w:val="2BFC0FF0"/>
    <w:rsid w:val="2C1354E0"/>
    <w:rsid w:val="2C29627A"/>
    <w:rsid w:val="2D502C75"/>
    <w:rsid w:val="2D5A445D"/>
    <w:rsid w:val="2DB60E05"/>
    <w:rsid w:val="2E3A6022"/>
    <w:rsid w:val="2E474078"/>
    <w:rsid w:val="2E620F3A"/>
    <w:rsid w:val="2EC630BE"/>
    <w:rsid w:val="2EF52DE8"/>
    <w:rsid w:val="2FA83F6C"/>
    <w:rsid w:val="2FD63906"/>
    <w:rsid w:val="30054C8E"/>
    <w:rsid w:val="306841DD"/>
    <w:rsid w:val="30CD41DB"/>
    <w:rsid w:val="31C51E84"/>
    <w:rsid w:val="31C82A92"/>
    <w:rsid w:val="31D76D98"/>
    <w:rsid w:val="32036508"/>
    <w:rsid w:val="32327F00"/>
    <w:rsid w:val="325E7BE3"/>
    <w:rsid w:val="32CD15AA"/>
    <w:rsid w:val="32CE2FBA"/>
    <w:rsid w:val="32D87995"/>
    <w:rsid w:val="32EA3BB0"/>
    <w:rsid w:val="3317670F"/>
    <w:rsid w:val="33244988"/>
    <w:rsid w:val="33266952"/>
    <w:rsid w:val="335C3F01"/>
    <w:rsid w:val="336456CD"/>
    <w:rsid w:val="33C811EE"/>
    <w:rsid w:val="33E67E90"/>
    <w:rsid w:val="341A1CA3"/>
    <w:rsid w:val="341C1B03"/>
    <w:rsid w:val="34915E4D"/>
    <w:rsid w:val="3499301B"/>
    <w:rsid w:val="352754C6"/>
    <w:rsid w:val="3551083B"/>
    <w:rsid w:val="361E1B63"/>
    <w:rsid w:val="362829E1"/>
    <w:rsid w:val="36ED2000"/>
    <w:rsid w:val="36EE0774"/>
    <w:rsid w:val="371567FA"/>
    <w:rsid w:val="37402F66"/>
    <w:rsid w:val="37A147F9"/>
    <w:rsid w:val="37B54749"/>
    <w:rsid w:val="380C0CD1"/>
    <w:rsid w:val="388F20EB"/>
    <w:rsid w:val="3907484F"/>
    <w:rsid w:val="39893369"/>
    <w:rsid w:val="3AA9263A"/>
    <w:rsid w:val="3AB5382A"/>
    <w:rsid w:val="3AED2409"/>
    <w:rsid w:val="3B553ECB"/>
    <w:rsid w:val="3B7B1805"/>
    <w:rsid w:val="3B8B7C9A"/>
    <w:rsid w:val="3BD827B4"/>
    <w:rsid w:val="3BDD7709"/>
    <w:rsid w:val="3C2743E4"/>
    <w:rsid w:val="3C632457"/>
    <w:rsid w:val="3C641374"/>
    <w:rsid w:val="3C64737A"/>
    <w:rsid w:val="3C917B45"/>
    <w:rsid w:val="3CDB255C"/>
    <w:rsid w:val="3D3D2628"/>
    <w:rsid w:val="3DD86A9B"/>
    <w:rsid w:val="3E502AD5"/>
    <w:rsid w:val="3E584838"/>
    <w:rsid w:val="3F1B7587"/>
    <w:rsid w:val="3F4168C2"/>
    <w:rsid w:val="3FAB1931"/>
    <w:rsid w:val="3FAC4683"/>
    <w:rsid w:val="401A579E"/>
    <w:rsid w:val="411B7DF5"/>
    <w:rsid w:val="413565DB"/>
    <w:rsid w:val="415136E5"/>
    <w:rsid w:val="418C553D"/>
    <w:rsid w:val="41A02E19"/>
    <w:rsid w:val="41DE7A85"/>
    <w:rsid w:val="41FD2A84"/>
    <w:rsid w:val="42333FF9"/>
    <w:rsid w:val="42506D81"/>
    <w:rsid w:val="426E4ED5"/>
    <w:rsid w:val="42715E32"/>
    <w:rsid w:val="435B61A4"/>
    <w:rsid w:val="435E00BA"/>
    <w:rsid w:val="43A001CA"/>
    <w:rsid w:val="441445A5"/>
    <w:rsid w:val="443611C6"/>
    <w:rsid w:val="446D6D8C"/>
    <w:rsid w:val="450A325E"/>
    <w:rsid w:val="45D96162"/>
    <w:rsid w:val="45E45137"/>
    <w:rsid w:val="46004DE1"/>
    <w:rsid w:val="466C70B0"/>
    <w:rsid w:val="472A1765"/>
    <w:rsid w:val="474C7A42"/>
    <w:rsid w:val="47A10846"/>
    <w:rsid w:val="483114A0"/>
    <w:rsid w:val="4897404D"/>
    <w:rsid w:val="48C67FAB"/>
    <w:rsid w:val="48EB3E65"/>
    <w:rsid w:val="498077C0"/>
    <w:rsid w:val="498B2DA7"/>
    <w:rsid w:val="49AE6A0F"/>
    <w:rsid w:val="49B77EAC"/>
    <w:rsid w:val="49D93D12"/>
    <w:rsid w:val="49E30CA1"/>
    <w:rsid w:val="4A123335"/>
    <w:rsid w:val="4B0233A9"/>
    <w:rsid w:val="4B163A02"/>
    <w:rsid w:val="4BD20FCE"/>
    <w:rsid w:val="4BDC1E4C"/>
    <w:rsid w:val="4C2528DE"/>
    <w:rsid w:val="4C2921B2"/>
    <w:rsid w:val="4C846903"/>
    <w:rsid w:val="4D265440"/>
    <w:rsid w:val="4D9D560B"/>
    <w:rsid w:val="4DD03C33"/>
    <w:rsid w:val="4DDA4CF6"/>
    <w:rsid w:val="4DDC3F49"/>
    <w:rsid w:val="4E3A0251"/>
    <w:rsid w:val="4FB160CF"/>
    <w:rsid w:val="500530C7"/>
    <w:rsid w:val="5008190D"/>
    <w:rsid w:val="50100316"/>
    <w:rsid w:val="501A2F43"/>
    <w:rsid w:val="50E67F7E"/>
    <w:rsid w:val="51E60793"/>
    <w:rsid w:val="521E5158"/>
    <w:rsid w:val="528D3AA0"/>
    <w:rsid w:val="52950DA4"/>
    <w:rsid w:val="529939D4"/>
    <w:rsid w:val="52AC6306"/>
    <w:rsid w:val="52DF000C"/>
    <w:rsid w:val="538434F5"/>
    <w:rsid w:val="54057124"/>
    <w:rsid w:val="543123DD"/>
    <w:rsid w:val="543A3BB4"/>
    <w:rsid w:val="54686973"/>
    <w:rsid w:val="54771836"/>
    <w:rsid w:val="54C0055D"/>
    <w:rsid w:val="54F21CA7"/>
    <w:rsid w:val="5531145B"/>
    <w:rsid w:val="55376345"/>
    <w:rsid w:val="55AD03B6"/>
    <w:rsid w:val="55DD0C9B"/>
    <w:rsid w:val="564451BE"/>
    <w:rsid w:val="576158FB"/>
    <w:rsid w:val="57633422"/>
    <w:rsid w:val="57790E97"/>
    <w:rsid w:val="57F306FD"/>
    <w:rsid w:val="58173150"/>
    <w:rsid w:val="583628E4"/>
    <w:rsid w:val="58A3716A"/>
    <w:rsid w:val="58CF7431"/>
    <w:rsid w:val="58DE1D8C"/>
    <w:rsid w:val="59034EBC"/>
    <w:rsid w:val="59441031"/>
    <w:rsid w:val="59486D73"/>
    <w:rsid w:val="595D1860"/>
    <w:rsid w:val="59926CC6"/>
    <w:rsid w:val="59C208D3"/>
    <w:rsid w:val="5A266A92"/>
    <w:rsid w:val="5A431AFF"/>
    <w:rsid w:val="5AB87F28"/>
    <w:rsid w:val="5ADF4CDC"/>
    <w:rsid w:val="5AE86795"/>
    <w:rsid w:val="5B6D2AC1"/>
    <w:rsid w:val="5BAB3B03"/>
    <w:rsid w:val="5BBA7015"/>
    <w:rsid w:val="5BE93675"/>
    <w:rsid w:val="5CA91276"/>
    <w:rsid w:val="5CC4359D"/>
    <w:rsid w:val="5D323FC2"/>
    <w:rsid w:val="5D567419"/>
    <w:rsid w:val="5DE23B4A"/>
    <w:rsid w:val="5F0E3ED3"/>
    <w:rsid w:val="5F16521D"/>
    <w:rsid w:val="5F557AF4"/>
    <w:rsid w:val="5FEC38D5"/>
    <w:rsid w:val="600357A2"/>
    <w:rsid w:val="600867EC"/>
    <w:rsid w:val="60226429"/>
    <w:rsid w:val="605229AF"/>
    <w:rsid w:val="607242A1"/>
    <w:rsid w:val="609C5FAB"/>
    <w:rsid w:val="60A17B38"/>
    <w:rsid w:val="60C767CF"/>
    <w:rsid w:val="60FD6695"/>
    <w:rsid w:val="61031871"/>
    <w:rsid w:val="621A6DD3"/>
    <w:rsid w:val="62403327"/>
    <w:rsid w:val="626A5D07"/>
    <w:rsid w:val="634C5894"/>
    <w:rsid w:val="63ED3E4C"/>
    <w:rsid w:val="64202DC6"/>
    <w:rsid w:val="64A07A63"/>
    <w:rsid w:val="64A45831"/>
    <w:rsid w:val="64AA442F"/>
    <w:rsid w:val="64B26BA8"/>
    <w:rsid w:val="64D1760A"/>
    <w:rsid w:val="64FA0014"/>
    <w:rsid w:val="651144BD"/>
    <w:rsid w:val="65E47E23"/>
    <w:rsid w:val="661651D4"/>
    <w:rsid w:val="663012BB"/>
    <w:rsid w:val="667B308C"/>
    <w:rsid w:val="66CA7019"/>
    <w:rsid w:val="66DE6B36"/>
    <w:rsid w:val="673426E5"/>
    <w:rsid w:val="67C27CF0"/>
    <w:rsid w:val="68847937"/>
    <w:rsid w:val="68B67D6D"/>
    <w:rsid w:val="68E21CE3"/>
    <w:rsid w:val="69CC48F1"/>
    <w:rsid w:val="6A0B3BD1"/>
    <w:rsid w:val="6A5A098B"/>
    <w:rsid w:val="6B437F60"/>
    <w:rsid w:val="6B4A0B61"/>
    <w:rsid w:val="6B99520C"/>
    <w:rsid w:val="6BDC6C36"/>
    <w:rsid w:val="6C280D86"/>
    <w:rsid w:val="6C417D7E"/>
    <w:rsid w:val="6C500390"/>
    <w:rsid w:val="6CE173AE"/>
    <w:rsid w:val="6CE85F63"/>
    <w:rsid w:val="6CEA6B5C"/>
    <w:rsid w:val="6D3E250F"/>
    <w:rsid w:val="6D8A5754"/>
    <w:rsid w:val="6DFE57FA"/>
    <w:rsid w:val="6E2E4332"/>
    <w:rsid w:val="6E31797E"/>
    <w:rsid w:val="6E4833ED"/>
    <w:rsid w:val="6E9323E7"/>
    <w:rsid w:val="6EB32A89"/>
    <w:rsid w:val="6EC71209"/>
    <w:rsid w:val="6F7044D6"/>
    <w:rsid w:val="6FB37B71"/>
    <w:rsid w:val="6FC44AA9"/>
    <w:rsid w:val="7023779A"/>
    <w:rsid w:val="702A6D7B"/>
    <w:rsid w:val="703816DE"/>
    <w:rsid w:val="706350EE"/>
    <w:rsid w:val="70922ED0"/>
    <w:rsid w:val="70D72A5F"/>
    <w:rsid w:val="713003C1"/>
    <w:rsid w:val="7137174F"/>
    <w:rsid w:val="71580D04"/>
    <w:rsid w:val="715F4802"/>
    <w:rsid w:val="720B5E9F"/>
    <w:rsid w:val="722F67B6"/>
    <w:rsid w:val="72676064"/>
    <w:rsid w:val="729A27D7"/>
    <w:rsid w:val="72D2314C"/>
    <w:rsid w:val="72FC13BD"/>
    <w:rsid w:val="73102258"/>
    <w:rsid w:val="734839D0"/>
    <w:rsid w:val="736073AD"/>
    <w:rsid w:val="736D76AA"/>
    <w:rsid w:val="73927111"/>
    <w:rsid w:val="73B50B5A"/>
    <w:rsid w:val="73E060CE"/>
    <w:rsid w:val="73E159A2"/>
    <w:rsid w:val="7407365B"/>
    <w:rsid w:val="740B2792"/>
    <w:rsid w:val="74100036"/>
    <w:rsid w:val="748A7E9C"/>
    <w:rsid w:val="75BC66C7"/>
    <w:rsid w:val="761B33ED"/>
    <w:rsid w:val="764C7A4B"/>
    <w:rsid w:val="764F753B"/>
    <w:rsid w:val="768B2F31"/>
    <w:rsid w:val="768F1F08"/>
    <w:rsid w:val="769245DD"/>
    <w:rsid w:val="76985CAE"/>
    <w:rsid w:val="76D33CC8"/>
    <w:rsid w:val="77180BFC"/>
    <w:rsid w:val="772521F7"/>
    <w:rsid w:val="773226E3"/>
    <w:rsid w:val="77610F13"/>
    <w:rsid w:val="77690E33"/>
    <w:rsid w:val="779416A9"/>
    <w:rsid w:val="77F9150C"/>
    <w:rsid w:val="785B3F75"/>
    <w:rsid w:val="78E337ED"/>
    <w:rsid w:val="7A012D61"/>
    <w:rsid w:val="7A027042"/>
    <w:rsid w:val="7A2810DD"/>
    <w:rsid w:val="7A652E89"/>
    <w:rsid w:val="7AA7636E"/>
    <w:rsid w:val="7AF4273C"/>
    <w:rsid w:val="7BBF2A6D"/>
    <w:rsid w:val="7C0235FA"/>
    <w:rsid w:val="7C2E0CCC"/>
    <w:rsid w:val="7C6A0830"/>
    <w:rsid w:val="7CE45748"/>
    <w:rsid w:val="7E3D355E"/>
    <w:rsid w:val="7E9631BB"/>
    <w:rsid w:val="7EF06264"/>
    <w:rsid w:val="7F1E7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32</Pages>
  <Words>11847</Words>
  <Characters>14529</Characters>
  <Lines>69</Lines>
  <Paragraphs>19</Paragraphs>
  <TotalTime>7</TotalTime>
  <ScaleCrop>false</ScaleCrop>
  <LinksUpToDate>false</LinksUpToDate>
  <CharactersWithSpaces>16077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ωёi゛</cp:lastModifiedBy>
  <cp:lastPrinted>2022-07-27T12:55:00Z</cp:lastPrinted>
  <dcterms:modified xsi:type="dcterms:W3CDTF">2024-09-25T01:49:06Z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847104DE5FFA436F910D6A635D920E31_13</vt:lpwstr>
  </property>
</Properties>
</file>