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pPr>
    </w:p>
    <w:p>
      <w:pPr>
        <w:pStyle w:val="4"/>
      </w:pPr>
    </w:p>
    <w:p>
      <w:pPr>
        <w:pStyle w:val="4"/>
      </w:pPr>
    </w:p>
    <w:tbl>
      <w:tblPr>
        <w:tblStyle w:val="2"/>
        <w:tblW w:w="10320" w:type="dxa"/>
        <w:tblInd w:w="93" w:type="dxa"/>
        <w:tblLayout w:type="autofit"/>
        <w:tblCellMar>
          <w:top w:w="0" w:type="dxa"/>
          <w:left w:w="108" w:type="dxa"/>
          <w:bottom w:w="0" w:type="dxa"/>
          <w:right w:w="108" w:type="dxa"/>
        </w:tblCellMar>
      </w:tblPr>
      <w:tblGrid>
        <w:gridCol w:w="580"/>
        <w:gridCol w:w="920"/>
        <w:gridCol w:w="580"/>
        <w:gridCol w:w="1960"/>
        <w:gridCol w:w="760"/>
        <w:gridCol w:w="4500"/>
        <w:gridCol w:w="1020"/>
      </w:tblGrid>
      <w:tr>
        <w:tblPrEx>
          <w:tblCellMar>
            <w:top w:w="0" w:type="dxa"/>
            <w:left w:w="108" w:type="dxa"/>
            <w:bottom w:w="0" w:type="dxa"/>
            <w:right w:w="108" w:type="dxa"/>
          </w:tblCellMar>
        </w:tblPrEx>
        <w:trPr>
          <w:trHeight w:val="405" w:hRule="atLeast"/>
        </w:trPr>
        <w:tc>
          <w:tcPr>
            <w:tcW w:w="10320" w:type="dxa"/>
            <w:gridSpan w:val="7"/>
            <w:tcBorders>
              <w:top w:val="nil"/>
              <w:left w:val="nil"/>
              <w:bottom w:val="nil"/>
              <w:right w:val="nil"/>
            </w:tcBorders>
            <w:shd w:val="clear" w:color="auto" w:fill="auto"/>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 xml:space="preserve">     </w:t>
            </w:r>
            <w:bookmarkStart w:id="0" w:name="_GoBack"/>
            <w:r>
              <w:rPr>
                <w:rFonts w:hint="eastAsia" w:ascii="宋体" w:hAnsi="宋体" w:cs="宋体"/>
                <w:b/>
                <w:bCs/>
                <w:kern w:val="0"/>
                <w:sz w:val="32"/>
                <w:szCs w:val="32"/>
              </w:rPr>
              <w:t>2020年湘乡市涉企行政事业性收费目录清单</w:t>
            </w:r>
            <w:bookmarkEnd w:id="0"/>
          </w:p>
        </w:tc>
      </w:tr>
      <w:tr>
        <w:tblPrEx>
          <w:tblCellMar>
            <w:top w:w="0" w:type="dxa"/>
            <w:left w:w="108" w:type="dxa"/>
            <w:bottom w:w="0" w:type="dxa"/>
            <w:right w:w="108" w:type="dxa"/>
          </w:tblCellMar>
        </w:tblPrEx>
        <w:trPr>
          <w:trHeight w:val="405" w:hRule="atLeast"/>
        </w:trPr>
        <w:tc>
          <w:tcPr>
            <w:tcW w:w="10320" w:type="dxa"/>
            <w:gridSpan w:val="7"/>
            <w:tcBorders>
              <w:top w:val="nil"/>
              <w:left w:val="nil"/>
              <w:bottom w:val="nil"/>
              <w:right w:val="nil"/>
            </w:tcBorders>
            <w:shd w:val="clear" w:color="auto" w:fill="auto"/>
            <w:vAlign w:val="center"/>
          </w:tcPr>
          <w:p>
            <w:pPr>
              <w:widowControl/>
              <w:jc w:val="center"/>
              <w:rPr>
                <w:rFonts w:ascii="宋体" w:hAnsi="宋体" w:cs="宋体"/>
                <w:b/>
                <w:bCs/>
                <w:kern w:val="0"/>
                <w:sz w:val="32"/>
                <w:szCs w:val="32"/>
              </w:rPr>
            </w:pPr>
            <w:r>
              <w:rPr>
                <w:rFonts w:hint="eastAsia" w:ascii="宋体" w:hAnsi="宋体" w:cs="宋体"/>
                <w:b/>
                <w:bCs/>
                <w:kern w:val="0"/>
                <w:sz w:val="32"/>
                <w:szCs w:val="32"/>
              </w:rPr>
              <w:t>（截至2020年7月）</w:t>
            </w:r>
          </w:p>
        </w:tc>
      </w:tr>
      <w:tr>
        <w:tblPrEx>
          <w:tblCellMar>
            <w:top w:w="0" w:type="dxa"/>
            <w:left w:w="108" w:type="dxa"/>
            <w:bottom w:w="0" w:type="dxa"/>
            <w:right w:w="108" w:type="dxa"/>
          </w:tblCellMar>
        </w:tblPrEx>
        <w:trPr>
          <w:trHeight w:val="450" w:hRule="atLeast"/>
        </w:trPr>
        <w:tc>
          <w:tcPr>
            <w:tcW w:w="10320" w:type="dxa"/>
            <w:gridSpan w:val="7"/>
            <w:tcBorders>
              <w:top w:val="nil"/>
              <w:left w:val="nil"/>
              <w:bottom w:val="single" w:color="auto" w:sz="4" w:space="0"/>
              <w:right w:val="nil"/>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现将调整后的《湘乡市涉企行政事业性收费目录清单》公布如下：</w:t>
            </w:r>
          </w:p>
        </w:tc>
      </w:tr>
      <w:tr>
        <w:tblPrEx>
          <w:tblCellMar>
            <w:top w:w="0" w:type="dxa"/>
            <w:left w:w="108" w:type="dxa"/>
            <w:bottom w:w="0" w:type="dxa"/>
            <w:right w:w="108" w:type="dxa"/>
          </w:tblCellMar>
        </w:tblPrEx>
        <w:trPr>
          <w:trHeight w:val="69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序号</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部门</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rPr>
              <w:t>项目</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序号</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xml:space="preserve">   项目名称</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rPr>
              <w:t>立项</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级次</w:t>
            </w:r>
          </w:p>
        </w:tc>
        <w:tc>
          <w:tcPr>
            <w:tcW w:w="4500" w:type="dxa"/>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政策依据</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备注</w:t>
            </w:r>
          </w:p>
        </w:tc>
      </w:tr>
      <w:tr>
        <w:tblPrEx>
          <w:tblCellMar>
            <w:top w:w="0" w:type="dxa"/>
            <w:left w:w="108" w:type="dxa"/>
            <w:bottom w:w="0" w:type="dxa"/>
            <w:right w:w="108" w:type="dxa"/>
          </w:tblCellMar>
        </w:tblPrEx>
        <w:trPr>
          <w:trHeight w:val="60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一</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公安</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1、证照费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湘发改价费〔2016〕375号，  湘财综</w:t>
            </w:r>
          </w:p>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〔2010〕15号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11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(5)机动车号牌工本费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《道路交通安全法》，发改价格〔2004〕2831号,计价格〔1994〕783号,价费字〔1992〕240号，行业标准GA36-2014,湘发改价费〔2016〕375号,发改价格规〔2019〕1931号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11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(2)机动车行驶证、登记证、驾驶证工本费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《道路交通安全法》，发改价格〔2004〕2831号,财综〔2001〕67号,计价格〔2001〕1979号,计价格〔1994〕783号,价费字〔1992〕240号 ，湘发改价费〔2017〕606号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15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二</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rPr>
              <w:t>自然</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资源</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1、土地复垦费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《土地管理法》,《土地复垦条例》, 湘财综〔2008〕68号,湘财综〔2015〕5号,财政部 税务总局 发展改革委 民政部 商务部 卫生健康委公告2019年第76号, 湘发改价费〔2019〕597号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06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2、土地闲置费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《土地管理法》，《城市房地产管理法》，国发〔2008〕3号,湘财综〔2015〕5号,财政部 税务总局 发展改革委 民政部 商务部 卫生健康委公告2019年第76号, 湘发改价费〔2019〕597号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　</w:t>
            </w:r>
          </w:p>
        </w:tc>
      </w:tr>
      <w:tr>
        <w:tblPrEx>
          <w:tblCellMar>
            <w:top w:w="0" w:type="dxa"/>
            <w:left w:w="108" w:type="dxa"/>
            <w:bottom w:w="0" w:type="dxa"/>
            <w:right w:w="108" w:type="dxa"/>
          </w:tblCellMar>
        </w:tblPrEx>
        <w:trPr>
          <w:trHeight w:val="123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3、不动产登记费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《物权法》，财税〔2016〕79号,发改价格规〔2016〕2559号，湘发改价费〔2017〕264号,财税〔2019〕45号,财税〔2019〕53号,财政部 税务总局 发展改革委 民政部 商务部 卫生健康委公告2019年第76号, 湘发改价费〔2019〕597号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r>
      <w:tr>
        <w:tblPrEx>
          <w:tblCellMar>
            <w:top w:w="0" w:type="dxa"/>
            <w:left w:w="108" w:type="dxa"/>
            <w:bottom w:w="0" w:type="dxa"/>
            <w:right w:w="108" w:type="dxa"/>
          </w:tblCellMar>
        </w:tblPrEx>
        <w:trPr>
          <w:trHeight w:val="136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5</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4、耕地开垦费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《土地管理法》，《土地管理法实施条例》,湘财综〔2015〕5号,财税〔2019〕53号，财政部 税务总局 发展改革委 民政部 商务部 卫生健康委公告2019年第76号,湘发改价费〔2019〕597号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　</w:t>
            </w:r>
          </w:p>
        </w:tc>
      </w:tr>
      <w:tr>
        <w:tblPrEx>
          <w:tblCellMar>
            <w:top w:w="0" w:type="dxa"/>
            <w:left w:w="108" w:type="dxa"/>
            <w:bottom w:w="0" w:type="dxa"/>
            <w:right w:w="108" w:type="dxa"/>
          </w:tblCellMar>
        </w:tblPrEx>
        <w:trPr>
          <w:trHeight w:val="97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三</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rPr>
              <w:t>住房城</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乡建设</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6</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1、污水处理费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《城镇排水与污水处理条例</w:t>
            </w:r>
            <w:r>
              <w:rPr>
                <w:rFonts w:hint="eastAsia" w:ascii="仿宋_GB2312" w:hAnsi="宋体" w:eastAsia="仿宋_GB2312" w:cs="宋体"/>
                <w:kern w:val="0"/>
                <w:sz w:val="20"/>
                <w:szCs w:val="20"/>
              </w:rPr>
              <w:t xml:space="preserve">》,财税〔2014〕151号，发改价格〔2015〕119号,湘财综〔2015〕19号,湘发改价服〔2015〕347号，湘发改价费〔2020〕29号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kern w:val="0"/>
                <w:sz w:val="20"/>
                <w:szCs w:val="20"/>
              </w:rPr>
            </w:pPr>
            <w:r>
              <w:rPr>
                <w:rFonts w:hint="eastAsia" w:ascii="仿宋_GB2312" w:hAnsi="宋体" w:eastAsia="仿宋_GB2312" w:cs="宋体"/>
                <w:b/>
                <w:bCs/>
                <w:kern w:val="0"/>
                <w:sz w:val="20"/>
                <w:szCs w:val="20"/>
              </w:rPr>
              <w:t>　</w:t>
            </w:r>
          </w:p>
        </w:tc>
      </w:tr>
      <w:tr>
        <w:tblPrEx>
          <w:tblCellMar>
            <w:top w:w="0" w:type="dxa"/>
            <w:left w:w="108" w:type="dxa"/>
            <w:bottom w:w="0" w:type="dxa"/>
            <w:right w:w="108" w:type="dxa"/>
          </w:tblCellMar>
        </w:tblPrEx>
        <w:trPr>
          <w:trHeight w:val="87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7</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2、城市道路占用、挖掘修复费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《城市道路管理条例》，建城〔1993〕410号，财税〔2015〕68号，湘发改价费〔2015〕1119号，湘发改价费〔2018〕426号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73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四</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rPr>
              <w:t>交通</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运输</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8</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1、车辆通行费(限于政府还贷)</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000000"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《公路法》，《收费公路管理条例》,交公路发〔1994〕686号,湘发改价费〔2017〕564号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515" w:hRule="atLeast"/>
        </w:trPr>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四</w:t>
            </w:r>
          </w:p>
        </w:tc>
        <w:tc>
          <w:tcPr>
            <w:tcW w:w="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rPr>
              <w:t>工业和</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信息化</w:t>
            </w:r>
          </w:p>
        </w:tc>
        <w:tc>
          <w:tcPr>
            <w:tcW w:w="5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9</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1、无线电频率占用费</w:t>
            </w:r>
          </w:p>
        </w:tc>
        <w:tc>
          <w:tcPr>
            <w:tcW w:w="7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无线电管理条例》,发改价格〔2013〕2396号,发改价格〔2011〕749号,发改价格〔2005〕2812号，发改价格〔2003〕2300号,计价费〔1998〕218号，发改价格〔2018〕601号，湘发改价费〔2017〕534号,湘发改价费〔2017〕606号,发改价格〔2019〕914号</w:t>
            </w:r>
          </w:p>
        </w:tc>
        <w:tc>
          <w:tcPr>
            <w:tcW w:w="1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56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五</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水利</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10</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1、水资源费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水法》，《取水许可和水资源费征收管理条例》，财税〔2016〕2号，财综〔2011〕19号,财综〔2008〕79号,财综〔2003〕89号,发改价格〔2013〕29号,发改价格〔2014〕1959号,发改价格〔2009〕1779号,价费字〔1992〕181号，湘发改价费〔2018〕683号，湘财综〔2018〕40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93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11</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2、水土保持补偿费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《水土保持法》，财综〔2014〕8号,发改价格〔2014〕886号，湘发改价费〔2014〕1171号，湘发改价费〔2017〕534号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33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六</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人防</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12</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1、防空地下室易地建设费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中发〔2001〕9号,国发〔2008〕4号，湘财综〔2015〕5号,计价格〔2000〕474号，湘发改价费〔2016〕716号,湘发改价费〔2017〕1187号，财政部 税务总局 发展改革委 民政部 商务部 卫生健康委2019年第76号,财税〔2019〕53</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r>
      <w:tr>
        <w:tblPrEx>
          <w:tblCellMar>
            <w:top w:w="0" w:type="dxa"/>
            <w:left w:w="108" w:type="dxa"/>
            <w:bottom w:w="0" w:type="dxa"/>
            <w:right w:w="108" w:type="dxa"/>
          </w:tblCellMar>
        </w:tblPrEx>
        <w:trPr>
          <w:trHeight w:val="84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七</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法院</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13</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1、诉讼费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《诉讼费用交纳办法》(国务院令481号),财行〔2003〕275号,湘价费〔2007〕154号,湘价费〔2012〕80号，湘发改价费〔2017〕493号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05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八</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hint="eastAsia" w:ascii="仿宋_GB2312" w:hAnsi="宋体" w:eastAsia="仿宋_GB2312" w:cs="宋体"/>
                <w:b/>
                <w:bCs/>
                <w:color w:val="000000"/>
                <w:kern w:val="0"/>
                <w:sz w:val="20"/>
                <w:szCs w:val="20"/>
                <w:lang w:eastAsia="zh-CN"/>
              </w:rPr>
            </w:pPr>
            <w:r>
              <w:rPr>
                <w:rFonts w:hint="eastAsia" w:ascii="仿宋_GB2312" w:hAnsi="宋体" w:eastAsia="仿宋_GB2312" w:cs="宋体"/>
                <w:b/>
                <w:bCs/>
                <w:color w:val="000000"/>
                <w:kern w:val="0"/>
                <w:sz w:val="20"/>
                <w:szCs w:val="20"/>
              </w:rPr>
              <w:t>市场</w:t>
            </w:r>
          </w:p>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监管</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14</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1、特种设备检验检测费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特种设备安全法》,《特种设备安全监察条例》,发改价格〔2015〕1299号，财综〔2011〕16号,财综〔2001〕10号,价费字〔1992〕268号,湘发改价费〔2014〕1039号，湘发改价费〔2016〕405号，湘发改价费〔2016〕716号，湘财综〔2017〕16号,湘发改价费〔2018〕395号，湘发改价费〔2019〕224号，湘财税〔2020〕7号,国市监注〔2020〕38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35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339966"/>
                <w:kern w:val="0"/>
                <w:sz w:val="20"/>
                <w:szCs w:val="20"/>
              </w:rPr>
            </w:pPr>
            <w:r>
              <w:rPr>
                <w:rFonts w:hint="eastAsia" w:ascii="仿宋_GB2312" w:hAnsi="宋体" w:eastAsia="仿宋_GB2312" w:cs="宋体"/>
                <w:b/>
                <w:bCs/>
                <w:strike/>
                <w:color w:val="339966"/>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339966"/>
                <w:kern w:val="0"/>
                <w:sz w:val="20"/>
                <w:szCs w:val="20"/>
              </w:rPr>
            </w:pPr>
            <w:r>
              <w:rPr>
                <w:rFonts w:hint="eastAsia" w:ascii="仿宋_GB2312" w:hAnsi="宋体" w:eastAsia="仿宋_GB2312" w:cs="宋体"/>
                <w:b/>
                <w:bCs/>
                <w:strike/>
                <w:color w:val="339966"/>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15</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2、药品注册费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《药品管理法实施条例》，财税〔2015〕2号,发改价格〔2015〕1006号，湘财综〔2016〕37号，湘价费〔2007〕157号，湘发改价费〔2019〕224号，财政部 国家发展改革委公告2020年第11号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360"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（1）补充申请注册费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8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（2）再注册费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8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（3）加急费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142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16</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3、医疗器械产品注册费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中央</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《医疗器械监督管理条例》，财税〔2015〕2号,发改价格〔2015〕1006号，湘财综〔2016〕37号，湘发改价费〔2016〕405号，湘发改价费〔2019〕224号，财政部 国家发展改革委公告2020年第11号</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8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（1）首次注册费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85" w:hRule="atLeast"/>
        </w:trPr>
        <w:tc>
          <w:tcPr>
            <w:tcW w:w="58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（2）变更注册费</w:t>
            </w:r>
          </w:p>
        </w:tc>
        <w:tc>
          <w:tcPr>
            <w:tcW w:w="76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02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8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（3）延续注册费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85" w:hRule="atLeast"/>
        </w:trPr>
        <w:tc>
          <w:tcPr>
            <w:tcW w:w="580"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9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b/>
                <w:bCs/>
                <w:color w:val="000000"/>
                <w:kern w:val="0"/>
                <w:sz w:val="20"/>
                <w:szCs w:val="20"/>
              </w:rPr>
            </w:pPr>
            <w:r>
              <w:rPr>
                <w:rFonts w:hint="eastAsia" w:ascii="仿宋_GB2312" w:hAnsi="宋体" w:eastAsia="仿宋_GB2312" w:cs="宋体"/>
                <w:b/>
                <w:bCs/>
                <w:color w:val="000000"/>
                <w:kern w:val="0"/>
                <w:sz w:val="20"/>
                <w:szCs w:val="20"/>
              </w:rPr>
              <w:t>　</w:t>
            </w:r>
          </w:p>
        </w:tc>
        <w:tc>
          <w:tcPr>
            <w:tcW w:w="58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960" w:type="dxa"/>
            <w:tcBorders>
              <w:top w:val="nil"/>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（4）加急费</w:t>
            </w:r>
          </w:p>
        </w:tc>
        <w:tc>
          <w:tcPr>
            <w:tcW w:w="76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4500"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c>
          <w:tcPr>
            <w:tcW w:w="1020"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cs="宋体"/>
                <w:color w:val="000000"/>
                <w:kern w:val="0"/>
                <w:sz w:val="20"/>
                <w:szCs w:val="20"/>
              </w:rPr>
            </w:pPr>
            <w:r>
              <w:rPr>
                <w:rFonts w:hint="eastAsia" w:ascii="仿宋_GB2312" w:hAnsi="宋体" w:eastAsia="仿宋_GB2312" w:cs="宋体"/>
                <w:color w:val="000000"/>
                <w:kern w:val="0"/>
                <w:sz w:val="20"/>
                <w:szCs w:val="20"/>
              </w:rPr>
              <w:t>　</w:t>
            </w:r>
          </w:p>
        </w:tc>
      </w:tr>
      <w:tr>
        <w:tblPrEx>
          <w:tblCellMar>
            <w:top w:w="0" w:type="dxa"/>
            <w:left w:w="108" w:type="dxa"/>
            <w:bottom w:w="0" w:type="dxa"/>
            <w:right w:w="108" w:type="dxa"/>
          </w:tblCellMar>
        </w:tblPrEx>
        <w:trPr>
          <w:trHeight w:val="2010" w:hRule="atLeast"/>
        </w:trPr>
        <w:tc>
          <w:tcPr>
            <w:tcW w:w="10320" w:type="dxa"/>
            <w:gridSpan w:val="7"/>
            <w:tcBorders>
              <w:top w:val="single" w:color="auto" w:sz="4" w:space="0"/>
              <w:left w:val="single" w:color="auto" w:sz="4" w:space="0"/>
              <w:bottom w:val="single" w:color="auto" w:sz="4" w:space="0"/>
              <w:right w:val="single" w:color="000000" w:sz="4" w:space="0"/>
            </w:tcBorders>
            <w:shd w:val="clear" w:color="auto" w:fill="auto"/>
            <w:vAlign w:val="center"/>
          </w:tcPr>
          <w:p>
            <w:pPr>
              <w:widowControl/>
              <w:jc w:val="left"/>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 xml:space="preserve">备注:1、本清单不含中央部门和单位在我省执收的涉企行政事业性收费项目。  </w:t>
            </w:r>
          </w:p>
          <w:p>
            <w:pPr>
              <w:widowControl/>
              <w:jc w:val="left"/>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 xml:space="preserve">     2、排污权有偿使用费、河道砂石资源有偿使用费属于国有资源有偿使用收入，不作为行政事业性收费管理。</w:t>
            </w:r>
          </w:p>
          <w:p>
            <w:pPr>
              <w:widowControl/>
              <w:jc w:val="left"/>
              <w:rPr>
                <w:rFonts w:hint="eastAsia" w:ascii="仿宋_GB2312" w:hAnsi="宋体" w:eastAsia="仿宋_GB2312" w:cs="宋体"/>
                <w:kern w:val="0"/>
                <w:sz w:val="20"/>
                <w:szCs w:val="20"/>
                <w:lang w:eastAsia="zh-CN"/>
              </w:rPr>
            </w:pPr>
            <w:r>
              <w:rPr>
                <w:rFonts w:hint="eastAsia" w:ascii="仿宋_GB2312" w:hAnsi="宋体" w:eastAsia="仿宋_GB2312" w:cs="宋体"/>
                <w:kern w:val="0"/>
                <w:sz w:val="20"/>
                <w:szCs w:val="20"/>
              </w:rPr>
              <w:t xml:space="preserve">     3、人防工程及设施毁损赔（补）偿费不再作为行政事业性收费管理。对人防工程及设施造成毁损的，应按照《中华人民共和国人民防空法》的规定，依法赔偿损失。</w:t>
            </w:r>
          </w:p>
          <w:p>
            <w:pPr>
              <w:widowControl/>
              <w:jc w:val="left"/>
              <w:rPr>
                <w:rFonts w:ascii="仿宋_GB2312" w:hAnsi="宋体" w:eastAsia="仿宋_GB2312" w:cs="宋体"/>
                <w:kern w:val="0"/>
                <w:sz w:val="20"/>
                <w:szCs w:val="20"/>
              </w:rPr>
            </w:pPr>
            <w:r>
              <w:rPr>
                <w:rFonts w:hint="eastAsia" w:ascii="仿宋_GB2312" w:hAnsi="宋体" w:eastAsia="仿宋_GB2312" w:cs="宋体"/>
                <w:kern w:val="0"/>
                <w:sz w:val="20"/>
                <w:szCs w:val="20"/>
              </w:rPr>
              <w:t xml:space="preserve">     4、破损公路及公路设施赔补偿费和公路占用费不再作为行政事业性收费项目管理，改作国有资源（资产）有偿使用收入管理。造成公路及公路设施破损以及占用公路的，应按照《中华人民共和国公路法》、交通运输部《路政管理规定》，依法进行赔偿或补偿。</w:t>
            </w:r>
          </w:p>
        </w:tc>
      </w:tr>
    </w:tbl>
    <w:p>
      <w:pPr>
        <w:pStyle w:val="4"/>
      </w:pPr>
    </w:p>
    <w:p>
      <w:pPr>
        <w:pStyle w:val="4"/>
      </w:pPr>
    </w:p>
    <w:p>
      <w:pPr>
        <w:pStyle w:val="4"/>
      </w:pPr>
    </w:p>
    <w:p>
      <w:pPr>
        <w:pStyle w:val="4"/>
      </w:pPr>
    </w:p>
    <w:p>
      <w:pPr>
        <w:pStyle w:val="4"/>
      </w:pPr>
    </w:p>
    <w:p>
      <w:pPr>
        <w:pStyle w:val="4"/>
      </w:pPr>
    </w:p>
    <w:p>
      <w:pPr>
        <w:pStyle w:val="4"/>
      </w:pPr>
    </w:p>
    <w:p>
      <w:pPr>
        <w:pStyle w:val="4"/>
      </w:pPr>
    </w:p>
    <w:p>
      <w:pPr>
        <w:pStyle w:val="4"/>
      </w:pPr>
    </w:p>
    <w:p>
      <w:pPr>
        <w:pStyle w:val="4"/>
      </w:pPr>
    </w:p>
    <w:p/>
    <w:sectPr>
      <w:pgSz w:w="11906" w:h="16838"/>
      <w:pgMar w:top="1134" w:right="1474" w:bottom="1134"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ODU4NzhiODVhNmU1NDUyNzQzMjQ4MTI2M2NlNDkifQ=="/>
  </w:docVars>
  <w:rsids>
    <w:rsidRoot w:val="0E9E36B9"/>
    <w:rsid w:val="003A0C16"/>
    <w:rsid w:val="007A3847"/>
    <w:rsid w:val="0E9E36B9"/>
    <w:rsid w:val="56375D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CellMar>
        <w:top w:w="0" w:type="dxa"/>
        <w:left w:w="108" w:type="dxa"/>
        <w:bottom w:w="0" w:type="dxa"/>
        <w:right w:w="108" w:type="dxa"/>
      </w:tblCellMar>
    </w:tblPr>
  </w:style>
  <w:style w:type="paragraph" w:styleId="4">
    <w:name w:val="No Spacing"/>
    <w:qFormat/>
    <w:uiPriority w:val="1"/>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HP Inc.</Company>
  <Pages>3</Pages>
  <Words>427</Words>
  <Characters>2435</Characters>
  <Lines>20</Lines>
  <Paragraphs>5</Paragraphs>
  <TotalTime>4</TotalTime>
  <ScaleCrop>false</ScaleCrop>
  <LinksUpToDate>false</LinksUpToDate>
  <CharactersWithSpaces>2857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2021-11-01T07:50:00Z</dcterms:created>
  <dc:creator>快看辣边有只鹿</dc:creator>
  <cp:lastModifiedBy>燕娇</cp:lastModifiedBy>
  <dcterms:modified xsi:type="dcterms:W3CDTF">2024-08-30T06:48:58Z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9F569FFD29BB49009F6EA9DE2E805FD2_13</vt:lpwstr>
  </property>
</Properties>
</file>