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atLeast"/>
        <w:jc w:val="center"/>
        <w:rPr>
          <w:rFonts w:ascii="宋体" w:hAnsi="宋体" w:eastAsia="宋体" w:cs="Times New Roman"/>
          <w:b/>
          <w:bCs/>
          <w:kern w:val="0"/>
          <w:sz w:val="44"/>
          <w:szCs w:val="44"/>
        </w:rPr>
      </w:pPr>
      <w:r>
        <w:rPr>
          <w:rFonts w:hint="eastAsia" w:ascii="宋体" w:hAnsi="宋体" w:eastAsia="宋体" w:cs="Times New Roman"/>
          <w:b/>
          <w:bCs/>
          <w:kern w:val="0"/>
          <w:sz w:val="44"/>
          <w:szCs w:val="44"/>
        </w:rPr>
        <w:t>湘乡市公安局</w:t>
      </w:r>
      <w:r>
        <w:rPr>
          <w:rFonts w:ascii="宋体" w:hAnsi="宋体" w:eastAsia="宋体" w:cs="Times New Roman"/>
          <w:b/>
          <w:bCs/>
          <w:kern w:val="0"/>
          <w:sz w:val="44"/>
          <w:szCs w:val="44"/>
        </w:rPr>
        <w:t>202</w:t>
      </w:r>
      <w:r>
        <w:rPr>
          <w:rFonts w:hint="eastAsia" w:ascii="宋体" w:hAnsi="宋体" w:eastAsia="宋体" w:cs="Times New Roman"/>
          <w:b/>
          <w:bCs/>
          <w:kern w:val="0"/>
          <w:sz w:val="44"/>
          <w:szCs w:val="44"/>
          <w:lang w:val="en-US" w:eastAsia="zh-CN"/>
        </w:rPr>
        <w:t>3</w:t>
      </w:r>
      <w:r>
        <w:rPr>
          <w:rFonts w:ascii="宋体" w:hAnsi="宋体" w:eastAsia="宋体" w:cs="Times New Roman"/>
          <w:b/>
          <w:bCs/>
          <w:kern w:val="0"/>
          <w:sz w:val="44"/>
          <w:szCs w:val="44"/>
        </w:rPr>
        <w:t>年政府信息公开工作</w:t>
      </w:r>
    </w:p>
    <w:p>
      <w:pPr>
        <w:widowControl/>
        <w:spacing w:line="560" w:lineRule="atLeast"/>
        <w:jc w:val="center"/>
        <w:rPr>
          <w:rFonts w:ascii="宋体" w:hAnsi="宋体" w:eastAsia="宋体" w:cs="Times New Roman"/>
          <w:b/>
          <w:bCs/>
          <w:kern w:val="0"/>
          <w:sz w:val="44"/>
          <w:szCs w:val="44"/>
        </w:rPr>
      </w:pPr>
      <w:r>
        <w:rPr>
          <w:rFonts w:ascii="宋体" w:hAnsi="宋体" w:eastAsia="宋体" w:cs="Times New Roman"/>
          <w:b/>
          <w:bCs/>
          <w:kern w:val="0"/>
          <w:sz w:val="44"/>
          <w:szCs w:val="44"/>
        </w:rPr>
        <w:t>年度报告</w:t>
      </w:r>
    </w:p>
    <w:p>
      <w:pPr>
        <w:pStyle w:val="2"/>
        <w:keepNext w:val="0"/>
        <w:keepLines w:val="0"/>
        <w:widowControl/>
        <w:suppressLineNumbers w:val="0"/>
        <w:spacing w:before="0" w:beforeAutospacing="0" w:after="0" w:afterAutospacing="0" w:line="560" w:lineRule="atLeast"/>
        <w:ind w:left="0" w:right="0" w:firstLine="420"/>
        <w:jc w:val="both"/>
        <w:rPr>
          <w:rFonts w:ascii="黑体" w:hAnsi="宋体" w:eastAsia="黑体" w:cs="黑体"/>
          <w:sz w:val="32"/>
          <w:szCs w:val="32"/>
        </w:rPr>
      </w:pPr>
      <w:bookmarkStart w:id="0" w:name="OLE_LINK1"/>
    </w:p>
    <w:p>
      <w:pPr>
        <w:pStyle w:val="2"/>
        <w:keepNext w:val="0"/>
        <w:keepLines w:val="0"/>
        <w:widowControl/>
        <w:suppressLineNumbers w:val="0"/>
        <w:spacing w:before="0" w:beforeAutospacing="0" w:after="0" w:afterAutospacing="0" w:line="560" w:lineRule="atLeast"/>
        <w:ind w:left="0" w:right="0" w:firstLine="420"/>
        <w:jc w:val="both"/>
        <w:rPr>
          <w:rFonts w:hint="default" w:ascii="Times New Roman" w:hAnsi="Times New Roman" w:cs="Times New Roman"/>
          <w:sz w:val="24"/>
          <w:szCs w:val="24"/>
        </w:rPr>
      </w:pPr>
      <w:bookmarkStart w:id="1" w:name="_GoBack"/>
      <w:bookmarkEnd w:id="1"/>
      <w:r>
        <w:rPr>
          <w:rFonts w:ascii="黑体" w:hAnsi="宋体" w:eastAsia="黑体" w:cs="黑体"/>
          <w:sz w:val="32"/>
          <w:szCs w:val="32"/>
        </w:rPr>
        <w:t>一、总体情况</w:t>
      </w:r>
    </w:p>
    <w:p>
      <w:pPr>
        <w:pStyle w:val="2"/>
        <w:keepNext w:val="0"/>
        <w:keepLines w:val="0"/>
        <w:widowControl/>
        <w:suppressLineNumbers w:val="0"/>
        <w:shd w:val="clear" w:fill="FFFFFF"/>
        <w:spacing w:before="0" w:beforeAutospacing="0" w:after="0" w:afterAutospacing="0"/>
        <w:ind w:left="0" w:right="0" w:firstLine="480"/>
        <w:jc w:val="left"/>
        <w:rPr>
          <w:rFonts w:hint="default" w:ascii="Times New Roman" w:hAnsi="Times New Roman" w:cs="Times New Roman"/>
          <w:sz w:val="24"/>
          <w:szCs w:val="24"/>
        </w:rPr>
      </w:pPr>
      <w:r>
        <w:rPr>
          <w:rFonts w:hint="eastAsia" w:ascii="宋体" w:hAnsi="宋体" w:eastAsia="宋体" w:cs="宋体"/>
          <w:color w:val="333333"/>
          <w:spacing w:val="0"/>
          <w:sz w:val="24"/>
          <w:szCs w:val="24"/>
          <w:shd w:val="clear" w:fill="FFFFFF"/>
        </w:rPr>
        <w:t>（一）加强队伍建设，严格规范制度。进一步强化政府信息的主动公开工作，规范主动公开的范围，我局成立了由湘乡市人民政府副市长、公安王光武任组长的政务公开工作领导小组,领导小组下设办公室,负责政府信息公开内容维护、组织协调等日常工作。安排专人负责政府信息公开申请工作，进一步拓展申请公开受理渠道，本着依法公开和应公开尽公开的原则，严格按照法定时限履行答复程序，制定统一规范的答复格式，依法依规做好答复工作。</w:t>
      </w:r>
    </w:p>
    <w:p>
      <w:pPr>
        <w:pStyle w:val="2"/>
        <w:keepNext w:val="0"/>
        <w:keepLines w:val="0"/>
        <w:widowControl/>
        <w:suppressLineNumbers w:val="0"/>
        <w:shd w:val="clear" w:fill="FFFFFF"/>
        <w:spacing w:before="0" w:beforeAutospacing="0" w:after="0" w:afterAutospacing="0"/>
        <w:ind w:left="0" w:right="0" w:firstLine="480"/>
        <w:jc w:val="left"/>
        <w:rPr>
          <w:rFonts w:hint="default" w:ascii="Times New Roman" w:hAnsi="Times New Roman" w:cs="Times New Roman"/>
          <w:sz w:val="24"/>
          <w:szCs w:val="24"/>
        </w:rPr>
      </w:pPr>
      <w:r>
        <w:rPr>
          <w:rFonts w:hint="eastAsia" w:ascii="宋体" w:hAnsi="宋体" w:eastAsia="宋体" w:cs="宋体"/>
          <w:color w:val="333333"/>
          <w:spacing w:val="0"/>
          <w:sz w:val="24"/>
          <w:szCs w:val="24"/>
          <w:shd w:val="clear" w:fill="FFFFFF"/>
        </w:rPr>
        <w:t>（二）拓宽沟通渠道，打造服务平台。我局把推进政务信息公开工作作为全局一项重点工作来抓。对在日常工作中发现问题的单位进行逐个整改,大力建设亲民惠民为民的“湘乡公安”微信、微博、视频号政务新媒体，公安新媒体逐步成为联系群众、服务群众、凝聚群众的重要渠道，引导网上舆论、构建清朗网络空间的重要阵地。</w:t>
      </w:r>
    </w:p>
    <w:p>
      <w:pPr>
        <w:pStyle w:val="2"/>
        <w:keepNext w:val="0"/>
        <w:keepLines w:val="0"/>
        <w:widowControl/>
        <w:suppressLineNumbers w:val="0"/>
        <w:shd w:val="clear" w:fill="FFFFFF"/>
        <w:spacing w:before="0" w:beforeAutospacing="0" w:after="0" w:afterAutospacing="0"/>
        <w:ind w:left="0" w:right="0" w:firstLine="480"/>
        <w:jc w:val="left"/>
        <w:rPr>
          <w:rFonts w:hint="default" w:ascii="Times New Roman" w:hAnsi="Times New Roman" w:cs="Times New Roman"/>
          <w:sz w:val="24"/>
          <w:szCs w:val="24"/>
        </w:rPr>
      </w:pPr>
      <w:r>
        <w:rPr>
          <w:rFonts w:hint="eastAsia" w:ascii="宋体" w:hAnsi="宋体" w:eastAsia="宋体" w:cs="宋体"/>
          <w:color w:val="333333"/>
          <w:spacing w:val="0"/>
          <w:sz w:val="24"/>
          <w:szCs w:val="24"/>
          <w:shd w:val="clear" w:fill="FFFFFF"/>
        </w:rPr>
        <w:t>（三）2023年度网上工作开展情况</w:t>
      </w:r>
    </w:p>
    <w:p>
      <w:pPr>
        <w:pStyle w:val="2"/>
        <w:keepNext w:val="0"/>
        <w:keepLines w:val="0"/>
        <w:widowControl/>
        <w:suppressLineNumbers w:val="0"/>
        <w:shd w:val="clear" w:fill="FFFFFF"/>
        <w:spacing w:before="0" w:beforeAutospacing="0" w:after="0" w:afterAutospacing="0"/>
        <w:ind w:left="0" w:right="0" w:firstLine="480"/>
        <w:jc w:val="left"/>
        <w:rPr>
          <w:rFonts w:hint="default" w:ascii="Times New Roman" w:hAnsi="Times New Roman" w:cs="Times New Roman"/>
          <w:sz w:val="24"/>
          <w:szCs w:val="24"/>
        </w:rPr>
      </w:pPr>
      <w:r>
        <w:rPr>
          <w:rFonts w:hint="eastAsia" w:ascii="宋体" w:hAnsi="宋体" w:eastAsia="宋体" w:cs="宋体"/>
          <w:color w:val="333333"/>
          <w:spacing w:val="0"/>
          <w:sz w:val="24"/>
          <w:szCs w:val="24"/>
          <w:shd w:val="clear" w:fill="FFFFFF"/>
        </w:rPr>
        <w:t>2023年,网上公安局访问量2万余次,回应公众关注热点或重大舆情30余次,湘乡公安微博、微信粉丝5万余人，网上公安局和双微平台累计接受群众咨询求助270余次；发布各类微博264条，微信332条；接受网友咨询、报警、投诉、建议等212次。</w:t>
      </w:r>
    </w:p>
    <w:p>
      <w:pPr>
        <w:pStyle w:val="2"/>
        <w:keepNext w:val="0"/>
        <w:keepLines w:val="0"/>
        <w:widowControl/>
        <w:suppressLineNumbers w:val="0"/>
        <w:autoSpaceDE w:val="0"/>
        <w:autoSpaceDN/>
        <w:spacing w:before="0" w:beforeAutospacing="0" w:after="0" w:afterAutospacing="0" w:line="560" w:lineRule="atLeast"/>
        <w:ind w:left="0" w:right="0" w:firstLine="420"/>
        <w:jc w:val="both"/>
        <w:rPr>
          <w:rFonts w:hint="default" w:ascii="Times New Roman" w:hAnsi="Times New Roman" w:cs="Times New Roman"/>
          <w:sz w:val="24"/>
          <w:szCs w:val="24"/>
        </w:rPr>
      </w:pPr>
      <w:r>
        <w:rPr>
          <w:rFonts w:hint="eastAsia" w:ascii="黑体" w:hAnsi="宋体" w:eastAsia="黑体" w:cs="黑体"/>
          <w:sz w:val="32"/>
          <w:szCs w:val="32"/>
        </w:rPr>
        <w:t>二、主动公开政府信息情况</w:t>
      </w:r>
    </w:p>
    <w:p>
      <w:pPr>
        <w:pStyle w:val="2"/>
        <w:keepNext w:val="0"/>
        <w:keepLines w:val="0"/>
        <w:widowControl/>
        <w:suppressLineNumbers w:val="0"/>
        <w:shd w:val="clear" w:fill="FFFFFF"/>
        <w:spacing w:before="0" w:beforeAutospacing="0" w:after="0" w:afterAutospacing="0"/>
        <w:ind w:left="0" w:right="0" w:firstLine="480"/>
        <w:jc w:val="left"/>
        <w:rPr>
          <w:rFonts w:hint="default" w:ascii="Times New Roman" w:hAnsi="Times New Roman" w:cs="Times New Roman"/>
          <w:sz w:val="24"/>
          <w:szCs w:val="24"/>
        </w:rPr>
      </w:pPr>
      <w:r>
        <w:rPr>
          <w:rFonts w:hint="eastAsia" w:ascii="宋体" w:hAnsi="宋体" w:eastAsia="宋体" w:cs="宋体"/>
          <w:color w:val="333333"/>
          <w:spacing w:val="0"/>
          <w:sz w:val="24"/>
          <w:szCs w:val="24"/>
          <w:shd w:val="clear" w:fill="FFFFFF"/>
        </w:rPr>
        <w:t>为保障公民、法人或其他组织依法获取信息，我单位将本机关在履行职责过程中制作或获取的信息主动向公众公布。依照《国家保密法》及其他相关法律、法规和国家有关规定，涉及国家秘密、商业秘密和个人隐私的政府信息不公开。</w:t>
      </w:r>
    </w:p>
    <w:p>
      <w:pPr>
        <w:pStyle w:val="2"/>
        <w:keepNext w:val="0"/>
        <w:keepLines w:val="0"/>
        <w:widowControl/>
        <w:suppressLineNumbers w:val="0"/>
        <w:shd w:val="clear" w:fill="FFFFFF"/>
        <w:spacing w:before="0" w:beforeAutospacing="0" w:after="0" w:afterAutospacing="0"/>
        <w:ind w:left="0" w:right="0" w:firstLine="480"/>
        <w:jc w:val="left"/>
        <w:rPr>
          <w:rFonts w:hint="default" w:ascii="Times New Roman" w:hAnsi="Times New Roman" w:cs="Times New Roman"/>
          <w:sz w:val="24"/>
          <w:szCs w:val="24"/>
        </w:rPr>
      </w:pPr>
      <w:r>
        <w:rPr>
          <w:rFonts w:hint="eastAsia" w:ascii="宋体" w:hAnsi="宋体" w:eastAsia="宋体" w:cs="宋体"/>
          <w:color w:val="333333"/>
          <w:spacing w:val="0"/>
          <w:sz w:val="24"/>
          <w:szCs w:val="24"/>
          <w:shd w:val="clear" w:fill="FFFFFF"/>
        </w:rPr>
        <w:t>1、本机关主动公开的信息共分三个大类，包含警务公开、公共服务、公众参与等内容。</w:t>
      </w:r>
    </w:p>
    <w:p>
      <w:pPr>
        <w:pStyle w:val="2"/>
        <w:keepNext w:val="0"/>
        <w:keepLines w:val="0"/>
        <w:widowControl/>
        <w:suppressLineNumbers w:val="0"/>
        <w:shd w:val="clear" w:fill="FFFFFF"/>
        <w:spacing w:before="0" w:beforeAutospacing="0" w:after="0" w:afterAutospacing="0"/>
        <w:ind w:left="0" w:right="0" w:firstLine="480"/>
        <w:jc w:val="left"/>
        <w:rPr>
          <w:rFonts w:hint="default" w:ascii="Times New Roman" w:hAnsi="Times New Roman" w:cs="Times New Roman"/>
          <w:sz w:val="24"/>
          <w:szCs w:val="24"/>
        </w:rPr>
      </w:pPr>
      <w:r>
        <w:rPr>
          <w:rFonts w:hint="eastAsia" w:ascii="宋体" w:hAnsi="宋体" w:eastAsia="宋体" w:cs="宋体"/>
          <w:color w:val="333333"/>
          <w:spacing w:val="0"/>
          <w:sz w:val="24"/>
          <w:szCs w:val="24"/>
          <w:shd w:val="clear" w:fill="FFFFFF"/>
        </w:rPr>
        <w:t>2、本机关的政府信息主要通过政务网站向公众公开，同时以新闻发布会、政府公报以及报刊、广播、电视、公安微信微博或设立公共查阅室、资料索取点、信息公告栏、电子信息屏等形式公开政府信息。</w:t>
      </w:r>
    </w:p>
    <w:p>
      <w:pPr>
        <w:pStyle w:val="2"/>
        <w:keepNext w:val="0"/>
        <w:keepLines w:val="0"/>
        <w:widowControl/>
        <w:suppressLineNumbers w:val="0"/>
        <w:shd w:val="clear" w:fill="FFFFFF"/>
        <w:spacing w:before="0" w:beforeAutospacing="0" w:after="0" w:afterAutospacing="0"/>
        <w:ind w:left="0" w:right="0" w:firstLine="480"/>
        <w:jc w:val="left"/>
        <w:rPr>
          <w:rFonts w:hint="default" w:ascii="Times New Roman" w:hAnsi="Times New Roman" w:cs="Times New Roman"/>
          <w:sz w:val="24"/>
          <w:szCs w:val="24"/>
        </w:rPr>
      </w:pPr>
      <w:r>
        <w:rPr>
          <w:rFonts w:hint="eastAsia" w:ascii="宋体" w:hAnsi="宋体" w:eastAsia="宋体" w:cs="宋体"/>
          <w:color w:val="333333"/>
          <w:spacing w:val="0"/>
          <w:sz w:val="24"/>
          <w:szCs w:val="24"/>
          <w:shd w:val="clear" w:fill="FFFFFF"/>
        </w:rPr>
        <w:t>3、本机关公开以上信息的时限为自信息产生后的20日内公开(法律、法规对政府信息公开的期限另有规定的，从其规定)。</w:t>
      </w:r>
    </w:p>
    <w:p>
      <w:pPr>
        <w:pStyle w:val="2"/>
        <w:keepNext w:val="0"/>
        <w:keepLines w:val="0"/>
        <w:widowControl/>
        <w:suppressLineNumbers w:val="0"/>
        <w:shd w:val="clear" w:fill="FFFFFF"/>
        <w:spacing w:before="0" w:beforeAutospacing="0" w:after="0" w:afterAutospacing="0"/>
        <w:ind w:left="0" w:right="0" w:firstLine="480"/>
        <w:jc w:val="left"/>
        <w:rPr>
          <w:rFonts w:hint="default" w:ascii="Times New Roman" w:hAnsi="Times New Roman" w:cs="Times New Roman"/>
          <w:sz w:val="24"/>
          <w:szCs w:val="24"/>
        </w:rPr>
      </w:pPr>
      <w:r>
        <w:rPr>
          <w:rFonts w:hint="eastAsia" w:ascii="宋体" w:hAnsi="宋体" w:eastAsia="宋体" w:cs="宋体"/>
          <w:color w:val="333333"/>
          <w:spacing w:val="0"/>
          <w:sz w:val="24"/>
          <w:szCs w:val="24"/>
          <w:shd w:val="clear" w:fill="FFFFFF"/>
        </w:rPr>
        <w:t>4、本机关的办公地址：湘乡市经开区红仑大道6号;信息公开工作机构：湘乡市公安局;办公时间：8：00-12：00、14：30-17：30;联系电话：0731-56768321;邮政编码：411400。</w:t>
      </w:r>
    </w:p>
    <w:p>
      <w:pPr>
        <w:pStyle w:val="2"/>
        <w:keepNext w:val="0"/>
        <w:keepLines w:val="0"/>
        <w:widowControl/>
        <w:suppressLineNumbers w:val="0"/>
        <w:autoSpaceDE w:val="0"/>
        <w:autoSpaceDN/>
        <w:spacing w:before="0" w:beforeAutospacing="0" w:after="0" w:afterAutospacing="0" w:line="560" w:lineRule="atLeast"/>
        <w:ind w:left="0" w:right="0" w:firstLine="420"/>
        <w:jc w:val="both"/>
        <w:rPr>
          <w:rFonts w:hint="default" w:ascii="Times New Roman" w:hAnsi="Times New Roman" w:cs="Times New Roman"/>
          <w:sz w:val="24"/>
          <w:szCs w:val="24"/>
        </w:rPr>
      </w:pPr>
      <w:r>
        <w:rPr>
          <w:rFonts w:hint="default" w:ascii="Times New Roman" w:hAnsi="Times New Roman" w:cs="Times New Roman"/>
          <w:sz w:val="24"/>
          <w:szCs w:val="24"/>
        </w:rPr>
        <w:t> </w:t>
      </w:r>
    </w:p>
    <w:tbl>
      <w:tblPr>
        <w:tblW w:w="906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113"/>
        <w:gridCol w:w="1881"/>
        <w:gridCol w:w="1979"/>
        <w:gridCol w:w="20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606" w:hRule="atLeast"/>
          <w:jc w:val="center"/>
        </w:trPr>
        <w:tc>
          <w:tcPr>
            <w:tcW w:w="9064"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1"/>
                <w:szCs w:val="21"/>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1"/>
                <w:szCs w:val="21"/>
              </w:rPr>
              <w:t>信息内容</w:t>
            </w:r>
          </w:p>
        </w:tc>
        <w:tc>
          <w:tcPr>
            <w:tcW w:w="1881"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本年制发件数</w:t>
            </w:r>
          </w:p>
        </w:tc>
        <w:tc>
          <w:tcPr>
            <w:tcW w:w="1979"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本年废止件数</w:t>
            </w:r>
          </w:p>
        </w:tc>
        <w:tc>
          <w:tcPr>
            <w:tcW w:w="2091"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1"/>
                <w:szCs w:val="21"/>
              </w:rPr>
              <w:t>规章</w:t>
            </w:r>
          </w:p>
        </w:tc>
        <w:tc>
          <w:tcPr>
            <w:tcW w:w="1881"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1979"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2091"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1"/>
                <w:szCs w:val="21"/>
              </w:rPr>
              <w:t>行政规范性文件</w:t>
            </w:r>
          </w:p>
        </w:tc>
        <w:tc>
          <w:tcPr>
            <w:tcW w:w="1881"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1979"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2091"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9064" w:type="dxa"/>
            <w:gridSpan w:val="4"/>
            <w:tcBorders>
              <w:top w:val="nil"/>
              <w:left w:val="single" w:color="auto" w:sz="6" w:space="0"/>
              <w:bottom w:val="single" w:color="auto" w:sz="6" w:space="0"/>
              <w:right w:val="single" w:color="auto" w:sz="6" w:space="0"/>
            </w:tcBorders>
            <w:shd w:val="clear" w:color="auto" w:fill="C6D9F1"/>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1"/>
                <w:szCs w:val="21"/>
              </w:rPr>
              <w:t>信息内容</w:t>
            </w:r>
          </w:p>
        </w:tc>
        <w:tc>
          <w:tcPr>
            <w:tcW w:w="5951" w:type="dxa"/>
            <w:gridSpan w:val="3"/>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1"/>
                <w:szCs w:val="21"/>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1"/>
                <w:szCs w:val="21"/>
              </w:rPr>
              <w:t>行政许可</w:t>
            </w:r>
          </w:p>
        </w:tc>
        <w:tc>
          <w:tcPr>
            <w:tcW w:w="5951" w:type="dxa"/>
            <w:gridSpan w:val="3"/>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79493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9064" w:type="dxa"/>
            <w:gridSpan w:val="4"/>
            <w:tcBorders>
              <w:top w:val="nil"/>
              <w:left w:val="single" w:color="auto" w:sz="6" w:space="0"/>
              <w:bottom w:val="single" w:color="auto" w:sz="6" w:space="0"/>
              <w:right w:val="single" w:color="auto" w:sz="6" w:space="0"/>
            </w:tcBorders>
            <w:shd w:val="clear" w:color="auto" w:fill="C6D9F1"/>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1"/>
                <w:szCs w:val="21"/>
              </w:rPr>
              <w:t>信息内容</w:t>
            </w:r>
          </w:p>
        </w:tc>
        <w:tc>
          <w:tcPr>
            <w:tcW w:w="5951" w:type="dxa"/>
            <w:gridSpan w:val="3"/>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1"/>
                <w:szCs w:val="21"/>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1"/>
                <w:szCs w:val="21"/>
              </w:rPr>
              <w:t>行政处罚</w:t>
            </w:r>
          </w:p>
        </w:tc>
        <w:tc>
          <w:tcPr>
            <w:tcW w:w="5951" w:type="dxa"/>
            <w:gridSpan w:val="3"/>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54078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1"/>
                <w:szCs w:val="21"/>
              </w:rPr>
              <w:t>行政强制</w:t>
            </w:r>
          </w:p>
        </w:tc>
        <w:tc>
          <w:tcPr>
            <w:tcW w:w="5951" w:type="dxa"/>
            <w:gridSpan w:val="3"/>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9255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9064" w:type="dxa"/>
            <w:gridSpan w:val="4"/>
            <w:tcBorders>
              <w:top w:val="nil"/>
              <w:left w:val="single" w:color="auto" w:sz="6" w:space="0"/>
              <w:bottom w:val="single" w:color="auto" w:sz="6" w:space="0"/>
              <w:right w:val="single" w:color="auto" w:sz="6" w:space="0"/>
            </w:tcBorders>
            <w:shd w:val="clear" w:color="auto" w:fill="C6D9F1"/>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1"/>
                <w:szCs w:val="21"/>
              </w:rPr>
              <w:t>信息内容</w:t>
            </w:r>
          </w:p>
        </w:tc>
        <w:tc>
          <w:tcPr>
            <w:tcW w:w="5951" w:type="dxa"/>
            <w:gridSpan w:val="3"/>
            <w:tcBorders>
              <w:top w:val="nil"/>
              <w:left w:val="nil"/>
              <w:bottom w:val="single" w:color="auto" w:sz="6" w:space="0"/>
              <w:right w:val="single" w:color="000000"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1"/>
                <w:szCs w:val="21"/>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1"/>
                <w:szCs w:val="21"/>
              </w:rPr>
              <w:t>行政事业性收费</w:t>
            </w:r>
          </w:p>
        </w:tc>
        <w:tc>
          <w:tcPr>
            <w:tcW w:w="5951" w:type="dxa"/>
            <w:gridSpan w:val="3"/>
            <w:tcBorders>
              <w:top w:val="nil"/>
              <w:left w:val="nil"/>
              <w:bottom w:val="single" w:color="auto" w:sz="6" w:space="0"/>
              <w:right w:val="single" w:color="000000"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 357.26</w:t>
            </w:r>
          </w:p>
        </w:tc>
      </w:tr>
    </w:tbl>
    <w:p>
      <w:pPr>
        <w:pStyle w:val="2"/>
        <w:keepNext w:val="0"/>
        <w:keepLines w:val="0"/>
        <w:widowControl/>
        <w:suppressLineNumbers w:val="0"/>
        <w:spacing w:before="0" w:beforeAutospacing="0" w:after="240" w:afterAutospacing="0"/>
        <w:ind w:left="0" w:right="0" w:firstLine="640"/>
        <w:jc w:val="both"/>
        <w:rPr>
          <w:rFonts w:hint="default" w:ascii="Times New Roman" w:hAnsi="Times New Roman" w:cs="Times New Roman"/>
          <w:sz w:val="24"/>
          <w:szCs w:val="24"/>
        </w:rPr>
      </w:pPr>
      <w:r>
        <w:rPr>
          <w:rFonts w:hint="eastAsia" w:ascii="黑体" w:hAnsi="宋体" w:eastAsia="黑体" w:cs="黑体"/>
          <w:sz w:val="32"/>
          <w:szCs w:val="32"/>
        </w:rPr>
        <w:t>三、</w:t>
      </w:r>
      <w:r>
        <w:rPr>
          <w:rFonts w:hint="eastAsia" w:ascii="黑体" w:hAnsi="宋体" w:eastAsia="黑体" w:cs="黑体"/>
          <w:color w:val="333333"/>
          <w:spacing w:val="0"/>
          <w:sz w:val="32"/>
          <w:szCs w:val="32"/>
          <w:shd w:val="clear" w:fill="FFFFFF"/>
        </w:rPr>
        <w:t>收到和处理政府信息公开申请情况</w:t>
      </w:r>
    </w:p>
    <w:tbl>
      <w:tblPr>
        <w:tblW w:w="962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825"/>
        <w:gridCol w:w="855"/>
        <w:gridCol w:w="2998"/>
        <w:gridCol w:w="555"/>
        <w:gridCol w:w="776"/>
        <w:gridCol w:w="720"/>
        <w:gridCol w:w="750"/>
        <w:gridCol w:w="660"/>
        <w:gridCol w:w="735"/>
        <w:gridCol w:w="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330" w:hRule="atLeast"/>
          <w:jc w:val="center"/>
        </w:trPr>
        <w:tc>
          <w:tcPr>
            <w:tcW w:w="4678" w:type="dxa"/>
            <w:gridSpan w:val="3"/>
            <w:vMerge w:val="restart"/>
            <w:tcBorders>
              <w:top w:val="single" w:color="auto" w:sz="6" w:space="0"/>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ascii="楷_GB2312" w:hAnsi="楷_GB2312" w:eastAsia="楷_GB2312" w:cs="楷_GB2312"/>
                <w:sz w:val="24"/>
                <w:szCs w:val="24"/>
              </w:rPr>
              <w:t>（本列数据的勾稽关系为：第一项加第二项之和，等于第三项加第四项之和）</w:t>
            </w:r>
          </w:p>
        </w:tc>
        <w:tc>
          <w:tcPr>
            <w:tcW w:w="4946" w:type="dxa"/>
            <w:gridSpan w:val="7"/>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0" w:hRule="atLeast"/>
          <w:jc w:val="center"/>
        </w:trPr>
        <w:tc>
          <w:tcPr>
            <w:tcW w:w="4678" w:type="dxa"/>
            <w:gridSpan w:val="3"/>
            <w:vMerge w:val="continue"/>
            <w:tcBorders>
              <w:top w:val="single" w:color="auto" w:sz="6" w:space="0"/>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555" w:type="dxa"/>
            <w:vMerge w:val="restart"/>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自然人</w:t>
            </w:r>
          </w:p>
        </w:tc>
        <w:tc>
          <w:tcPr>
            <w:tcW w:w="3641" w:type="dxa"/>
            <w:gridSpan w:val="5"/>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法人或其他组织</w:t>
            </w:r>
          </w:p>
        </w:tc>
        <w:tc>
          <w:tcPr>
            <w:tcW w:w="750" w:type="dxa"/>
            <w:vMerge w:val="restart"/>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678" w:type="dxa"/>
            <w:gridSpan w:val="3"/>
            <w:vMerge w:val="continue"/>
            <w:tcBorders>
              <w:top w:val="single" w:color="auto" w:sz="6" w:space="0"/>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5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商业企业</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科研机构</w:t>
            </w:r>
          </w:p>
        </w:tc>
        <w:tc>
          <w:tcPr>
            <w:tcW w:w="75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社会公益组织</w:t>
            </w:r>
          </w:p>
        </w:tc>
        <w:tc>
          <w:tcPr>
            <w:tcW w:w="66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法律服务机构</w:t>
            </w:r>
          </w:p>
        </w:tc>
        <w:tc>
          <w:tcPr>
            <w:tcW w:w="735"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26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其他</w:t>
            </w:r>
          </w:p>
        </w:tc>
        <w:tc>
          <w:tcPr>
            <w:tcW w:w="750" w:type="dxa"/>
            <w:vMerge w:val="continue"/>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7" w:hRule="atLeast"/>
          <w:jc w:val="center"/>
        </w:trPr>
        <w:tc>
          <w:tcPr>
            <w:tcW w:w="4678" w:type="dxa"/>
            <w:gridSpan w:val="3"/>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一、本年新收政府信息公开申请数量</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2</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7" w:hRule="atLeast"/>
          <w:jc w:val="center"/>
        </w:trPr>
        <w:tc>
          <w:tcPr>
            <w:tcW w:w="4678" w:type="dxa"/>
            <w:gridSpan w:val="3"/>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二、上年结转政府信息公开申请数量</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jc w:val="center"/>
        </w:trPr>
        <w:tc>
          <w:tcPr>
            <w:tcW w:w="825" w:type="dxa"/>
            <w:vMerge w:val="restart"/>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三、本年度办理结果</w:t>
            </w:r>
          </w:p>
        </w:tc>
        <w:tc>
          <w:tcPr>
            <w:tcW w:w="3853" w:type="dxa"/>
            <w:gridSpan w:val="2"/>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（一）予以公开</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5"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3853" w:type="dxa"/>
            <w:gridSpan w:val="2"/>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24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（二）部分公开</w:t>
            </w:r>
            <w:r>
              <w:rPr>
                <w:rFonts w:hint="default" w:ascii="楷_GB2312" w:hAnsi="楷_GB2312" w:eastAsia="楷_GB2312" w:cs="楷_GB2312"/>
                <w:sz w:val="21"/>
                <w:szCs w:val="21"/>
              </w:rPr>
              <w:t>（区分处理的，只计这一情形，不计其他情形）</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restart"/>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（三）不予公开</w:t>
            </w: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1.属于国家秘密</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2.其他法律行政法规禁止公开</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3.危及“三安全一稳定”</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4.保护第三方合法权益</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5.属于三类内部事务信息</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6.属于四类过程性信息</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7.属于行政执法案卷</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8.属于行政查询事项</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6"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restart"/>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（四）无法提供</w:t>
            </w: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1.本机关不掌握相关政府信息</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2.没有现成信息需要另行制作</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3.补正后申请内容仍不明确</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restart"/>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（五）不予处理</w:t>
            </w: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1.信访举报投诉类申请</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6"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2.重复申请</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6"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3.要求提供公开出版物</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4.无正当理由大量反复申请</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5"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24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5.要求行政机关确认或重新出具已获取信息</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0"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restart"/>
            <w:tcBorders>
              <w:top w:val="nil"/>
              <w:left w:val="nil"/>
              <w:bottom w:val="outset"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ind w:left="0" w:right="0"/>
              <w:jc w:val="both"/>
              <w:rPr>
                <w:rFonts w:hint="default" w:ascii="Times New Roman" w:hAnsi="Times New Roman" w:cs="Times New Roman"/>
                <w:sz w:val="21"/>
                <w:szCs w:val="21"/>
              </w:rPr>
            </w:pPr>
            <w:r>
              <w:rPr>
                <w:rFonts w:hint="eastAsia" w:ascii="宋体" w:hAnsi="宋体" w:eastAsia="宋体" w:cs="宋体"/>
                <w:sz w:val="21"/>
                <w:szCs w:val="21"/>
              </w:rPr>
              <w:t>（六）其他处理</w:t>
            </w: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24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1.申请人无正当理由逾期不补正、行政机关不再处理其政府信息公开申请</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5"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outset"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24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2.申请人逾期未按收费通知要求缴纳费用、行政机关不再处理其政府信息公开申请</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9"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855" w:type="dxa"/>
            <w:vMerge w:val="continue"/>
            <w:tcBorders>
              <w:top w:val="nil"/>
              <w:left w:val="nil"/>
              <w:bottom w:val="outset"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299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3.其他</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4" w:hRule="atLeast"/>
          <w:jc w:val="center"/>
        </w:trPr>
        <w:tc>
          <w:tcPr>
            <w:tcW w:w="825"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3853" w:type="dxa"/>
            <w:gridSpan w:val="2"/>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（七）总计</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2</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4" w:hRule="atLeast"/>
          <w:jc w:val="center"/>
        </w:trPr>
        <w:tc>
          <w:tcPr>
            <w:tcW w:w="4678" w:type="dxa"/>
            <w:gridSpan w:val="3"/>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left"/>
              <w:rPr>
                <w:rFonts w:hint="default" w:ascii="Times New Roman" w:hAnsi="Times New Roman" w:cs="Times New Roman"/>
                <w:sz w:val="21"/>
                <w:szCs w:val="21"/>
              </w:rPr>
            </w:pPr>
            <w:r>
              <w:rPr>
                <w:rFonts w:hint="eastAsia" w:ascii="宋体" w:hAnsi="宋体" w:eastAsia="宋体" w:cs="宋体"/>
                <w:sz w:val="21"/>
                <w:szCs w:val="21"/>
              </w:rPr>
              <w:t>四、结转下年度继续办理</w:t>
            </w:r>
          </w:p>
        </w:tc>
        <w:tc>
          <w:tcPr>
            <w:tcW w:w="55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76"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3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75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r>
    </w:tbl>
    <w:p>
      <w:pPr>
        <w:pStyle w:val="2"/>
        <w:keepNext w:val="0"/>
        <w:keepLines w:val="0"/>
        <w:widowControl/>
        <w:suppressLineNumbers w:val="0"/>
        <w:autoSpaceDE w:val="0"/>
        <w:autoSpaceDN/>
        <w:spacing w:before="0" w:beforeAutospacing="0" w:after="0" w:afterAutospacing="0" w:line="560" w:lineRule="atLeast"/>
        <w:ind w:left="0" w:right="0" w:firstLine="640"/>
        <w:jc w:val="both"/>
        <w:rPr>
          <w:rFonts w:hint="default" w:ascii="Times New Roman" w:hAnsi="Times New Roman" w:cs="Times New Roman"/>
          <w:sz w:val="24"/>
          <w:szCs w:val="24"/>
        </w:rPr>
      </w:pPr>
      <w:r>
        <w:rPr>
          <w:rFonts w:hint="eastAsia" w:ascii="黑体" w:hAnsi="宋体" w:eastAsia="黑体" w:cs="黑体"/>
          <w:sz w:val="32"/>
          <w:szCs w:val="32"/>
        </w:rPr>
        <w:t>四、</w:t>
      </w:r>
      <w:r>
        <w:rPr>
          <w:rFonts w:hint="eastAsia" w:ascii="黑体" w:hAnsi="宋体" w:eastAsia="黑体" w:cs="黑体"/>
          <w:color w:val="333333"/>
          <w:spacing w:val="0"/>
          <w:sz w:val="32"/>
          <w:szCs w:val="32"/>
          <w:shd w:val="clear" w:fill="FFFFFF"/>
        </w:rPr>
        <w:t>政府信息公开行政复议、行政诉讼情况</w:t>
      </w:r>
    </w:p>
    <w:tbl>
      <w:tblPr>
        <w:tblW w:w="1008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658"/>
        <w:gridCol w:w="658"/>
        <w:gridCol w:w="658"/>
        <w:gridCol w:w="658"/>
        <w:gridCol w:w="661"/>
        <w:gridCol w:w="691"/>
        <w:gridCol w:w="639"/>
        <w:gridCol w:w="690"/>
        <w:gridCol w:w="690"/>
        <w:gridCol w:w="645"/>
        <w:gridCol w:w="720"/>
        <w:gridCol w:w="690"/>
        <w:gridCol w:w="675"/>
        <w:gridCol w:w="690"/>
        <w:gridCol w:w="6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82" w:hRule="atLeast"/>
          <w:jc w:val="center"/>
        </w:trPr>
        <w:tc>
          <w:tcPr>
            <w:tcW w:w="3293" w:type="dxa"/>
            <w:gridSpan w:val="5"/>
            <w:tcBorders>
              <w:top w:val="single" w:color="auto" w:sz="6" w:space="0"/>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rPr>
              <w:t>行政复议</w:t>
            </w:r>
          </w:p>
        </w:tc>
        <w:tc>
          <w:tcPr>
            <w:tcW w:w="6790" w:type="dxa"/>
            <w:gridSpan w:val="10"/>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jc w:val="center"/>
        </w:trPr>
        <w:tc>
          <w:tcPr>
            <w:tcW w:w="658" w:type="dxa"/>
            <w:vMerge w:val="restart"/>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结果维持</w:t>
            </w:r>
          </w:p>
        </w:tc>
        <w:tc>
          <w:tcPr>
            <w:tcW w:w="658" w:type="dxa"/>
            <w:vMerge w:val="restart"/>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结果纠正</w:t>
            </w:r>
          </w:p>
        </w:tc>
        <w:tc>
          <w:tcPr>
            <w:tcW w:w="658" w:type="dxa"/>
            <w:vMerge w:val="restart"/>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其他结果</w:t>
            </w:r>
          </w:p>
        </w:tc>
        <w:tc>
          <w:tcPr>
            <w:tcW w:w="658" w:type="dxa"/>
            <w:vMerge w:val="restart"/>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尚未审结</w:t>
            </w:r>
          </w:p>
        </w:tc>
        <w:tc>
          <w:tcPr>
            <w:tcW w:w="661" w:type="dxa"/>
            <w:vMerge w:val="restart"/>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总计</w:t>
            </w:r>
          </w:p>
        </w:tc>
        <w:tc>
          <w:tcPr>
            <w:tcW w:w="3355" w:type="dxa"/>
            <w:gridSpan w:val="5"/>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未经复议直接起诉</w:t>
            </w:r>
          </w:p>
        </w:tc>
        <w:tc>
          <w:tcPr>
            <w:tcW w:w="3435" w:type="dxa"/>
            <w:gridSpan w:val="5"/>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8" w:hRule="atLeast"/>
          <w:jc w:val="center"/>
        </w:trPr>
        <w:tc>
          <w:tcPr>
            <w:tcW w:w="658" w:type="dxa"/>
            <w:vMerge w:val="continue"/>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658" w:type="dxa"/>
            <w:vMerge w:val="continue"/>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658" w:type="dxa"/>
            <w:vMerge w:val="continue"/>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658" w:type="dxa"/>
            <w:vMerge w:val="continue"/>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661" w:type="dxa"/>
            <w:vMerge w:val="continue"/>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rPr>
                <w:rFonts w:hint="default" w:ascii="Times New Roman" w:hAnsi="Times New Roman" w:cs="Times New Roman"/>
                <w:sz w:val="20"/>
                <w:szCs w:val="20"/>
              </w:rPr>
            </w:pPr>
          </w:p>
        </w:tc>
        <w:tc>
          <w:tcPr>
            <w:tcW w:w="691"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结果维持</w:t>
            </w:r>
          </w:p>
        </w:tc>
        <w:tc>
          <w:tcPr>
            <w:tcW w:w="639"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结果纠正</w:t>
            </w:r>
          </w:p>
        </w:tc>
        <w:tc>
          <w:tcPr>
            <w:tcW w:w="69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其他结果</w:t>
            </w:r>
          </w:p>
        </w:tc>
        <w:tc>
          <w:tcPr>
            <w:tcW w:w="69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尚未审结</w:t>
            </w:r>
          </w:p>
        </w:tc>
        <w:tc>
          <w:tcPr>
            <w:tcW w:w="645"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1"/>
                <w:szCs w:val="21"/>
              </w:rPr>
              <w:t>总计</w:t>
            </w:r>
          </w:p>
        </w:tc>
        <w:tc>
          <w:tcPr>
            <w:tcW w:w="72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结果维持</w:t>
            </w:r>
          </w:p>
        </w:tc>
        <w:tc>
          <w:tcPr>
            <w:tcW w:w="69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结果纠正</w:t>
            </w:r>
          </w:p>
        </w:tc>
        <w:tc>
          <w:tcPr>
            <w:tcW w:w="675"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1"/>
                <w:szCs w:val="21"/>
              </w:rPr>
              <w:t>其他结果</w:t>
            </w:r>
          </w:p>
        </w:tc>
        <w:tc>
          <w:tcPr>
            <w:tcW w:w="69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sz w:val="21"/>
                <w:szCs w:val="21"/>
              </w:rPr>
              <w:t>尚未审结</w:t>
            </w:r>
          </w:p>
        </w:tc>
        <w:tc>
          <w:tcPr>
            <w:tcW w:w="660" w:type="dxa"/>
            <w:tcBorders>
              <w:top w:val="single" w:color="auto" w:sz="6" w:space="0"/>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line="300" w:lineRule="atLeast"/>
              <w:ind w:left="0" w:right="0"/>
              <w:jc w:val="center"/>
              <w:rPr>
                <w:rFonts w:hint="default" w:ascii="Times New Roman" w:hAnsi="Times New Roman" w:cs="Times New Roman"/>
                <w:sz w:val="21"/>
                <w:szCs w:val="21"/>
              </w:rPr>
            </w:pPr>
            <w:r>
              <w:rPr>
                <w:rFonts w:hint="eastAsia" w:ascii="宋体" w:hAnsi="宋体" w:eastAsia="宋体" w:cs="宋体"/>
                <w:color w:val="000000"/>
                <w:sz w:val="21"/>
                <w:szCs w:val="21"/>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7" w:hRule="atLeast"/>
          <w:jc w:val="center"/>
        </w:trPr>
        <w:tc>
          <w:tcPr>
            <w:tcW w:w="658" w:type="dxa"/>
            <w:tcBorders>
              <w:top w:val="nil"/>
              <w:left w:val="single" w:color="auto" w:sz="6" w:space="0"/>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rPr>
              <w:t>10</w:t>
            </w:r>
          </w:p>
        </w:tc>
        <w:tc>
          <w:tcPr>
            <w:tcW w:w="65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c>
          <w:tcPr>
            <w:tcW w:w="65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rPr>
              <w:t>12</w:t>
            </w:r>
          </w:p>
        </w:tc>
        <w:tc>
          <w:tcPr>
            <w:tcW w:w="658"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rPr>
              <w:t>4</w:t>
            </w:r>
          </w:p>
        </w:tc>
        <w:tc>
          <w:tcPr>
            <w:tcW w:w="661"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rPr>
              <w:t>27</w:t>
            </w:r>
          </w:p>
        </w:tc>
        <w:tc>
          <w:tcPr>
            <w:tcW w:w="691"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rPr>
              <w:t>6</w:t>
            </w:r>
          </w:p>
        </w:tc>
        <w:tc>
          <w:tcPr>
            <w:tcW w:w="639"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rPr>
              <w:t>1</w:t>
            </w:r>
          </w:p>
        </w:tc>
        <w:tc>
          <w:tcPr>
            <w:tcW w:w="69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rPr>
              <w:t>3</w:t>
            </w:r>
          </w:p>
        </w:tc>
        <w:tc>
          <w:tcPr>
            <w:tcW w:w="69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rPr>
              <w:t>7</w:t>
            </w:r>
          </w:p>
        </w:tc>
        <w:tc>
          <w:tcPr>
            <w:tcW w:w="64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rPr>
              <w:t>17</w:t>
            </w:r>
          </w:p>
        </w:tc>
        <w:tc>
          <w:tcPr>
            <w:tcW w:w="72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9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75"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rPr>
              <w:t>0</w:t>
            </w:r>
          </w:p>
        </w:tc>
        <w:tc>
          <w:tcPr>
            <w:tcW w:w="69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rPr>
              <w:t>2</w:t>
            </w:r>
          </w:p>
        </w:tc>
        <w:tc>
          <w:tcPr>
            <w:tcW w:w="660" w:type="dxa"/>
            <w:tcBorders>
              <w:top w:val="nil"/>
              <w:left w:val="nil"/>
              <w:bottom w:val="single" w:color="auto" w:sz="6" w:space="0"/>
              <w:right w:val="single" w:color="auto" w:sz="6" w:space="0"/>
            </w:tcBorders>
            <w:shd w:val="clear"/>
            <w:tcMar>
              <w:top w:w="0" w:type="dxa"/>
              <w:left w:w="108" w:type="dxa"/>
              <w:bottom w:w="0" w:type="dxa"/>
              <w:right w:w="108" w:type="dxa"/>
            </w:tcMar>
            <w:vAlign w:val="center"/>
          </w:tcPr>
          <w:p>
            <w:pPr>
              <w:pStyle w:val="2"/>
              <w:keepNext w:val="0"/>
              <w:keepLines w:val="0"/>
              <w:widowControl/>
              <w:suppressLineNumbers w:val="0"/>
              <w:autoSpaceDE w:val="0"/>
              <w:autoSpaceDN/>
              <w:spacing w:before="0" w:beforeAutospacing="0" w:after="0" w:afterAutospacing="0"/>
              <w:ind w:left="0" w:right="0"/>
              <w:jc w:val="center"/>
              <w:rPr>
                <w:rFonts w:hint="default" w:ascii="Times New Roman" w:hAnsi="Times New Roman" w:cs="Times New Roman"/>
                <w:sz w:val="21"/>
                <w:szCs w:val="21"/>
              </w:rPr>
            </w:pPr>
            <w:r>
              <w:rPr>
                <w:rFonts w:hint="eastAsia" w:ascii="宋体" w:hAnsi="宋体" w:eastAsia="宋体" w:cs="宋体"/>
                <w:sz w:val="21"/>
                <w:szCs w:val="21"/>
              </w:rPr>
              <w:t>2</w:t>
            </w:r>
          </w:p>
        </w:tc>
      </w:tr>
    </w:tbl>
    <w:p>
      <w:pPr>
        <w:pStyle w:val="2"/>
        <w:keepNext w:val="0"/>
        <w:keepLines w:val="0"/>
        <w:widowControl/>
        <w:suppressLineNumbers w:val="0"/>
        <w:autoSpaceDE w:val="0"/>
        <w:autoSpaceDN/>
        <w:spacing w:before="0" w:beforeAutospacing="0" w:after="0" w:afterAutospacing="0" w:line="560" w:lineRule="atLeast"/>
        <w:ind w:left="0" w:right="0"/>
        <w:jc w:val="both"/>
        <w:rPr>
          <w:rFonts w:hint="default" w:ascii="Times New Roman" w:hAnsi="Times New Roman" w:cs="Times New Roman"/>
          <w:sz w:val="24"/>
          <w:szCs w:val="24"/>
        </w:rPr>
      </w:pPr>
      <w:r>
        <w:rPr>
          <w:rFonts w:hint="default" w:ascii="Times New Roman" w:hAnsi="Times New Roman" w:cs="Times New Roman"/>
          <w:sz w:val="24"/>
          <w:szCs w:val="24"/>
        </w:rPr>
        <w:t> </w:t>
      </w:r>
    </w:p>
    <w:p>
      <w:pPr>
        <w:pStyle w:val="2"/>
        <w:keepNext w:val="0"/>
        <w:keepLines w:val="0"/>
        <w:widowControl/>
        <w:suppressLineNumbers w:val="0"/>
        <w:autoSpaceDE w:val="0"/>
        <w:autoSpaceDN/>
        <w:spacing w:before="0" w:beforeAutospacing="0" w:after="0" w:afterAutospacing="0" w:line="560" w:lineRule="atLeast"/>
        <w:ind w:left="0" w:right="0" w:firstLine="640"/>
        <w:jc w:val="both"/>
        <w:rPr>
          <w:rFonts w:hint="default" w:ascii="Times New Roman" w:hAnsi="Times New Roman" w:cs="Times New Roman"/>
          <w:sz w:val="24"/>
          <w:szCs w:val="24"/>
        </w:rPr>
      </w:pPr>
      <w:r>
        <w:rPr>
          <w:rFonts w:hint="eastAsia" w:ascii="黑体" w:hAnsi="宋体" w:eastAsia="黑体" w:cs="黑体"/>
          <w:sz w:val="32"/>
          <w:szCs w:val="32"/>
        </w:rPr>
        <w:t>五、存在的主要问题及改进情况</w:t>
      </w:r>
    </w:p>
    <w:p>
      <w:pPr>
        <w:pStyle w:val="2"/>
        <w:keepNext w:val="0"/>
        <w:keepLines w:val="0"/>
        <w:widowControl/>
        <w:suppressLineNumbers w:val="0"/>
        <w:autoSpaceDE w:val="0"/>
        <w:autoSpaceDN/>
        <w:spacing w:before="0" w:beforeAutospacing="0" w:after="0" w:afterAutospacing="0" w:line="560" w:lineRule="atLeast"/>
        <w:ind w:left="0" w:right="0" w:firstLine="480"/>
        <w:jc w:val="both"/>
        <w:rPr>
          <w:rFonts w:hint="default" w:ascii="Times New Roman" w:hAnsi="Times New Roman" w:cs="Times New Roman"/>
          <w:sz w:val="24"/>
          <w:szCs w:val="24"/>
        </w:rPr>
      </w:pPr>
      <w:r>
        <w:rPr>
          <w:rFonts w:hint="eastAsia" w:ascii="宋体" w:hAnsi="宋体" w:eastAsia="宋体" w:cs="宋体"/>
          <w:color w:val="333333"/>
          <w:spacing w:val="0"/>
          <w:sz w:val="24"/>
          <w:szCs w:val="24"/>
          <w:shd w:val="clear" w:fill="FFFFFF"/>
        </w:rPr>
        <w:t>（一）存在的主要问题：一是部分下设部门信息公开意识不强，公开力度不够；二是部分民警对政府信息公开的认识不足，无法适应新形势的需要；三是市公安局整体的政府信息公开工作公众参与力度较低。</w:t>
      </w:r>
    </w:p>
    <w:p>
      <w:pPr>
        <w:pStyle w:val="2"/>
        <w:keepNext w:val="0"/>
        <w:keepLines w:val="0"/>
        <w:widowControl/>
        <w:suppressLineNumbers w:val="0"/>
        <w:autoSpaceDE w:val="0"/>
        <w:autoSpaceDN/>
        <w:spacing w:before="0" w:beforeAutospacing="0" w:after="0" w:afterAutospacing="0" w:line="560" w:lineRule="atLeast"/>
        <w:ind w:left="0" w:right="0" w:firstLine="480"/>
        <w:jc w:val="both"/>
        <w:rPr>
          <w:rFonts w:hint="default" w:ascii="Times New Roman" w:hAnsi="Times New Roman" w:cs="Times New Roman"/>
          <w:sz w:val="24"/>
          <w:szCs w:val="24"/>
        </w:rPr>
      </w:pPr>
      <w:r>
        <w:rPr>
          <w:rFonts w:hint="eastAsia" w:ascii="宋体" w:hAnsi="宋体" w:eastAsia="宋体" w:cs="宋体"/>
          <w:color w:val="333333"/>
          <w:spacing w:val="0"/>
          <w:sz w:val="24"/>
          <w:szCs w:val="24"/>
          <w:shd w:val="clear" w:fill="FFFFFF"/>
        </w:rPr>
        <w:t>（二）改进措施：一是提高思想认识。2024年要通过宣传培训，使全局民警充分认识政府信息公开工作的重要意义，使“公开为常态，不公开为例外”的理念入脑、入心；二是提升服务效能。要进一步健全机制，完善制度，开展督查，及时发现问题、解决问题，以绩效考核为抓手，进一步激发各部门工作的主动性和积极性；三是加大公开力度。要贯彻落实重大行政决策程序规定，进一步加大决策过程中公众参与力度，丰富和拓展公众开放日活动的事项和形式，强化人民建议的征集和回应，有效保障公众知情权、监督权。</w:t>
      </w:r>
    </w:p>
    <w:p>
      <w:pPr>
        <w:pStyle w:val="2"/>
        <w:keepNext w:val="0"/>
        <w:keepLines w:val="0"/>
        <w:widowControl/>
        <w:suppressLineNumbers w:val="0"/>
        <w:autoSpaceDE w:val="0"/>
        <w:autoSpaceDN/>
        <w:spacing w:before="0" w:beforeAutospacing="0" w:after="0" w:afterAutospacing="0" w:line="560" w:lineRule="atLeast"/>
        <w:ind w:left="0" w:right="0" w:firstLine="640"/>
        <w:jc w:val="both"/>
        <w:rPr>
          <w:rFonts w:hint="default" w:ascii="Times New Roman" w:hAnsi="Times New Roman" w:cs="Times New Roman"/>
          <w:sz w:val="24"/>
          <w:szCs w:val="24"/>
        </w:rPr>
      </w:pPr>
      <w:r>
        <w:rPr>
          <w:rFonts w:hint="eastAsia" w:ascii="黑体" w:hAnsi="宋体" w:eastAsia="黑体" w:cs="黑体"/>
          <w:sz w:val="32"/>
          <w:szCs w:val="32"/>
        </w:rPr>
        <w:t>六、其他需要报告的事项</w:t>
      </w:r>
    </w:p>
    <w:p>
      <w:pPr>
        <w:pStyle w:val="2"/>
        <w:keepNext w:val="0"/>
        <w:keepLines w:val="0"/>
        <w:widowControl/>
        <w:suppressLineNumbers w:val="0"/>
        <w:autoSpaceDE w:val="0"/>
        <w:autoSpaceDN/>
        <w:spacing w:before="0" w:beforeAutospacing="0" w:after="0" w:afterAutospacing="0" w:line="560" w:lineRule="atLeast"/>
        <w:ind w:left="0" w:right="0" w:firstLine="480"/>
        <w:jc w:val="both"/>
        <w:rPr>
          <w:rFonts w:hint="default" w:ascii="Times New Roman" w:hAnsi="Times New Roman" w:cs="Times New Roman"/>
          <w:sz w:val="24"/>
          <w:szCs w:val="24"/>
        </w:rPr>
      </w:pPr>
      <w:r>
        <w:rPr>
          <w:rFonts w:hint="eastAsia" w:ascii="宋体" w:hAnsi="宋体" w:eastAsia="宋体" w:cs="宋体"/>
          <w:color w:val="333333"/>
          <w:spacing w:val="0"/>
          <w:sz w:val="24"/>
          <w:szCs w:val="24"/>
          <w:shd w:val="clear" w:fill="FFFFFF"/>
        </w:rPr>
        <w:t>2023年本单位无对公民、法人和其他组织收取政府信息公开费用的情况。</w:t>
      </w:r>
    </w:p>
    <w:p>
      <w:pPr>
        <w:widowControl/>
        <w:shd w:val="clear" w:color="auto" w:fill="FFFFFF"/>
        <w:spacing w:line="600" w:lineRule="atLeast"/>
        <w:ind w:firstLine="640"/>
        <w:jc w:val="right"/>
        <w:rPr>
          <w:rFonts w:ascii="仿宋" w:hAnsi="仿宋" w:eastAsia="仿宋" w:cs="Times New Roman"/>
          <w:color w:val="333333"/>
          <w:kern w:val="0"/>
          <w:sz w:val="32"/>
          <w:szCs w:val="32"/>
          <w:shd w:val="clear" w:color="auto" w:fill="FFFFFF"/>
        </w:rPr>
      </w:pPr>
    </w:p>
    <w:p>
      <w:pPr>
        <w:widowControl/>
        <w:shd w:val="clear" w:color="auto" w:fill="FFFFFF"/>
        <w:spacing w:line="600" w:lineRule="atLeast"/>
        <w:ind w:firstLine="640"/>
        <w:jc w:val="right"/>
        <w:rPr>
          <w:rFonts w:ascii="仿宋" w:hAnsi="仿宋" w:eastAsia="仿宋" w:cs="Times New Roman"/>
          <w:color w:val="333333"/>
          <w:kern w:val="0"/>
          <w:sz w:val="32"/>
          <w:szCs w:val="32"/>
          <w:shd w:val="clear" w:color="auto" w:fill="FFFFFF"/>
        </w:rPr>
      </w:pPr>
    </w:p>
    <w:p>
      <w:pPr>
        <w:widowControl/>
        <w:shd w:val="clear" w:color="auto" w:fill="FFFFFF"/>
        <w:spacing w:line="600" w:lineRule="atLeast"/>
        <w:ind w:firstLine="640"/>
        <w:jc w:val="right"/>
        <w:rPr>
          <w:rFonts w:ascii="Times New Roman" w:hAnsi="Times New Roman" w:eastAsia="宋体" w:cs="Times New Roman"/>
          <w:kern w:val="0"/>
          <w:szCs w:val="21"/>
        </w:rPr>
      </w:pPr>
      <w:r>
        <w:rPr>
          <w:rFonts w:hint="eastAsia" w:ascii="仿宋" w:hAnsi="仿宋" w:eastAsia="仿宋" w:cs="Times New Roman"/>
          <w:color w:val="333333"/>
          <w:kern w:val="0"/>
          <w:sz w:val="32"/>
          <w:szCs w:val="32"/>
          <w:shd w:val="clear" w:color="auto" w:fill="FFFFFF"/>
        </w:rPr>
        <w:t>湘乡市公安局</w:t>
      </w:r>
    </w:p>
    <w:p>
      <w:pPr>
        <w:widowControl/>
        <w:shd w:val="clear" w:color="auto" w:fill="FFFFFF"/>
        <w:spacing w:line="600" w:lineRule="atLeast"/>
        <w:ind w:firstLine="640"/>
        <w:jc w:val="right"/>
        <w:rPr>
          <w:rFonts w:ascii="Times New Roman" w:hAnsi="Times New Roman" w:eastAsia="宋体" w:cs="Times New Roman"/>
          <w:kern w:val="0"/>
          <w:szCs w:val="21"/>
        </w:rPr>
      </w:pPr>
      <w:r>
        <w:rPr>
          <w:rFonts w:hint="eastAsia" w:ascii="仿宋" w:hAnsi="仿宋" w:eastAsia="仿宋" w:cs="Times New Roman"/>
          <w:color w:val="333333"/>
          <w:kern w:val="0"/>
          <w:sz w:val="32"/>
          <w:szCs w:val="32"/>
          <w:shd w:val="clear" w:color="auto" w:fill="FFFFFF"/>
        </w:rPr>
        <w:t>202</w:t>
      </w:r>
      <w:r>
        <w:rPr>
          <w:rFonts w:hint="eastAsia" w:ascii="仿宋" w:hAnsi="仿宋" w:eastAsia="仿宋" w:cs="Times New Roman"/>
          <w:color w:val="333333"/>
          <w:kern w:val="0"/>
          <w:sz w:val="32"/>
          <w:szCs w:val="32"/>
          <w:shd w:val="clear" w:color="auto" w:fill="FFFFFF"/>
          <w:lang w:val="en-US" w:eastAsia="zh-CN"/>
        </w:rPr>
        <w:t>4</w:t>
      </w:r>
      <w:r>
        <w:rPr>
          <w:rFonts w:hint="eastAsia" w:ascii="仿宋" w:hAnsi="仿宋" w:eastAsia="仿宋" w:cs="Times New Roman"/>
          <w:color w:val="333333"/>
          <w:kern w:val="0"/>
          <w:sz w:val="32"/>
          <w:szCs w:val="32"/>
          <w:shd w:val="clear" w:color="auto" w:fill="FFFFFF"/>
        </w:rPr>
        <w:t>年1月</w:t>
      </w:r>
      <w:r>
        <w:rPr>
          <w:rFonts w:ascii="仿宋" w:hAnsi="仿宋" w:eastAsia="仿宋" w:cs="Times New Roman"/>
          <w:color w:val="333333"/>
          <w:kern w:val="0"/>
          <w:sz w:val="32"/>
          <w:szCs w:val="32"/>
          <w:shd w:val="clear" w:color="auto" w:fill="FFFFFF"/>
        </w:rPr>
        <w:t>1</w:t>
      </w:r>
      <w:r>
        <w:rPr>
          <w:rFonts w:hint="eastAsia" w:ascii="仿宋" w:hAnsi="仿宋" w:eastAsia="仿宋" w:cs="Times New Roman"/>
          <w:color w:val="333333"/>
          <w:kern w:val="0"/>
          <w:sz w:val="32"/>
          <w:szCs w:val="32"/>
          <w:shd w:val="clear" w:color="auto" w:fill="FFFFFF"/>
          <w:lang w:val="en-US" w:eastAsia="zh-CN"/>
        </w:rPr>
        <w:t>0</w:t>
      </w:r>
      <w:r>
        <w:rPr>
          <w:rFonts w:hint="eastAsia" w:ascii="仿宋" w:hAnsi="仿宋" w:eastAsia="仿宋" w:cs="Times New Roman"/>
          <w:color w:val="333333"/>
          <w:kern w:val="0"/>
          <w:sz w:val="32"/>
          <w:szCs w:val="32"/>
          <w:shd w:val="clear" w:color="auto" w:fill="FFFFFF"/>
        </w:rPr>
        <w:t>日</w:t>
      </w:r>
    </w:p>
    <w:bookmarkEnd w:id="0"/>
    <w:p>
      <w:pPr>
        <w:widowControl/>
        <w:spacing w:line="500" w:lineRule="atLeast"/>
        <w:ind w:firstLine="420"/>
        <w:rPr>
          <w:rFonts w:ascii="Times New Roman" w:hAnsi="Times New Roman" w:eastAsia="宋体" w:cs="Times New Roman"/>
          <w:kern w:val="0"/>
          <w:sz w:val="24"/>
          <w:szCs w:val="24"/>
        </w:rPr>
      </w:pPr>
      <w:r>
        <w:rPr>
          <w:rFonts w:hint="eastAsia" w:ascii="宋体" w:hAnsi="宋体" w:eastAsia="宋体" w:cs="Times New Roman"/>
          <w:kern w:val="0"/>
          <w:sz w:val="32"/>
          <w:szCs w:val="32"/>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_GB2312">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jYzFhZDg5MTI1MjY1YzkzOGRmMjEwODVhYTQ1MzMifQ=="/>
  </w:docVars>
  <w:rsids>
    <w:rsidRoot w:val="00580BC5"/>
    <w:rsid w:val="004D12FE"/>
    <w:rsid w:val="004E74A7"/>
    <w:rsid w:val="00564754"/>
    <w:rsid w:val="00580BC5"/>
    <w:rsid w:val="00713990"/>
    <w:rsid w:val="008F092E"/>
    <w:rsid w:val="0090529D"/>
    <w:rsid w:val="00AE37A9"/>
    <w:rsid w:val="00B927AE"/>
    <w:rsid w:val="00BA1BB2"/>
    <w:rsid w:val="00C43B80"/>
    <w:rsid w:val="00C54F34"/>
    <w:rsid w:val="00CF7B85"/>
    <w:rsid w:val="00D65415"/>
    <w:rsid w:val="00EE3BC5"/>
    <w:rsid w:val="00F015D5"/>
    <w:rsid w:val="553C3109"/>
    <w:rsid w:val="5CCD3A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4</Pages>
  <Words>2079</Words>
  <Characters>2177</Characters>
  <Lines>18</Lines>
  <Paragraphs>5</Paragraphs>
  <TotalTime>231</TotalTime>
  <ScaleCrop>false</ScaleCrop>
  <LinksUpToDate>false</LinksUpToDate>
  <CharactersWithSpaces>2180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2023-01-16T00:31:00Z</dcterms:created>
  <dc:creator>a27313</dc:creator>
  <cp:lastModifiedBy>一世溫柔</cp:lastModifiedBy>
  <cp:lastPrinted>2023-01-16T07:18:00Z</cp:lastPrinted>
  <dcterms:modified xsi:type="dcterms:W3CDTF">2024-05-27T01:10:04Z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5BEF06E525424B5DB046E80BFC8C98FB</vt:lpwstr>
  </property>
</Properties>
</file>