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rPr>
          <w:rFonts w:hint="eastAsia" w:ascii="黑体" w:hAnsi="黑体" w:eastAsia="黑体"/>
          <w:sz w:val="44"/>
        </w:rPr>
      </w:pPr>
      <w:r>
        <w:rPr>
          <w:rFonts w:hint="eastAsia" w:ascii="黑体" w:hAnsi="黑体" w:eastAsia="黑体"/>
          <w:sz w:val="44"/>
        </w:rPr>
        <w:t>湘乡市东郊乡人民政府</w:t>
      </w:r>
    </w:p>
    <w:p>
      <w:pPr>
        <w:spacing w:beforeLines="0" w:afterLines="0"/>
        <w:jc w:val="center"/>
        <w:rPr>
          <w:rFonts w:hint="eastAsia" w:ascii="黑体" w:hAnsi="黑体" w:eastAsia="黑体"/>
          <w:sz w:val="44"/>
        </w:rPr>
      </w:pPr>
      <w:r>
        <w:rPr>
          <w:rFonts w:hint="eastAsia" w:ascii="黑体" w:hAnsi="黑体" w:eastAsia="黑体"/>
          <w:sz w:val="44"/>
        </w:rPr>
        <w:t>202</w:t>
      </w:r>
      <w:r>
        <w:rPr>
          <w:rFonts w:hint="eastAsia" w:ascii="黑体" w:hAnsi="黑体" w:eastAsia="黑体"/>
          <w:sz w:val="44"/>
          <w:lang w:val="en-US" w:eastAsia="zh-CN"/>
        </w:rPr>
        <w:t>2</w:t>
      </w:r>
      <w:r>
        <w:rPr>
          <w:rFonts w:hint="eastAsia" w:ascii="黑体" w:hAnsi="黑体" w:eastAsia="黑体"/>
          <w:sz w:val="44"/>
        </w:rPr>
        <w:t>年度部门决算报表填报说明</w:t>
      </w:r>
    </w:p>
    <w:p>
      <w:pPr>
        <w:spacing w:beforeLines="0" w:afterLines="0"/>
        <w:rPr>
          <w:rFonts w:hint="eastAsia" w:ascii="仿宋" w:hAnsi="仿宋" w:eastAsia="仿宋"/>
          <w:sz w:val="32"/>
        </w:rPr>
      </w:pPr>
    </w:p>
    <w:p>
      <w:pPr>
        <w:keepNext w:val="0"/>
        <w:keepLines w:val="0"/>
        <w:widowControl w:val="0"/>
        <w:suppressLineNumbers w:val="0"/>
        <w:spacing w:before="0" w:beforeAutospacing="0" w:after="0" w:afterAutospacing="0" w:line="360" w:lineRule="auto"/>
        <w:ind w:left="0" w:right="0" w:firstLine="562" w:firstLineChars="200"/>
        <w:jc w:val="both"/>
        <w:rPr>
          <w:rFonts w:hint="eastAsia"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kern w:val="2"/>
          <w:sz w:val="28"/>
          <w:szCs w:val="28"/>
          <w:lang w:val="en-US" w:eastAsia="zh-CN" w:bidi="ar"/>
        </w:rPr>
        <w:t>一、决算信息来源说明</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kern w:val="2"/>
          <w:sz w:val="28"/>
          <w:szCs w:val="28"/>
          <w:lang w:val="en-US" w:eastAsia="zh-CN" w:bidi="ar"/>
        </w:rPr>
        <w:t>本套决算依据本单位登记完整、核对无误的账簿记录和其他有关会计核算资料编制，账证相符、账实相符、账表相符、表表相符，真实、准确、完整地反映了本单位预算执行结果和财务状况。</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kern w:val="2"/>
          <w:sz w:val="28"/>
          <w:szCs w:val="28"/>
          <w:lang w:val="en-US" w:eastAsia="zh-CN" w:bidi="ar"/>
        </w:rPr>
        <w:t>（一）本套决算主表数据主要依据本单位会计账簿总账及明细账数据填列，预算数据依据本单位预、决算批复文件及预算调整文件填列。</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kern w:val="2"/>
          <w:sz w:val="28"/>
          <w:szCs w:val="28"/>
          <w:lang w:val="en-US" w:eastAsia="zh-CN" w:bidi="ar"/>
        </w:rPr>
        <w:t>（二）本套决算附表数据主要依据本单位会计账簿、资产、人事台账及相关资料填列。</w:t>
      </w:r>
    </w:p>
    <w:p>
      <w:pPr>
        <w:keepNext w:val="0"/>
        <w:keepLines w:val="0"/>
        <w:widowControl w:val="0"/>
        <w:suppressLineNumbers w:val="0"/>
        <w:spacing w:before="0" w:beforeAutospacing="0" w:after="0" w:afterAutospacing="0" w:line="360" w:lineRule="auto"/>
        <w:ind w:left="0" w:right="0" w:firstLine="562" w:firstLineChars="200"/>
        <w:jc w:val="both"/>
        <w:rPr>
          <w:rFonts w:hint="eastAsia"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kern w:val="2"/>
          <w:sz w:val="28"/>
          <w:szCs w:val="28"/>
          <w:lang w:val="en-US" w:eastAsia="zh-CN" w:bidi="ar"/>
        </w:rPr>
        <w:t>二、决算编制基本情况</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u w:val="none"/>
          <w:lang w:val="en-US"/>
        </w:rPr>
      </w:pPr>
      <w:r>
        <w:rPr>
          <w:rFonts w:hint="eastAsia" w:asciiTheme="minorEastAsia" w:hAnsiTheme="minorEastAsia" w:eastAsiaTheme="minorEastAsia" w:cstheme="minorEastAsia"/>
          <w:kern w:val="2"/>
          <w:sz w:val="28"/>
          <w:szCs w:val="28"/>
          <w:u w:val="none"/>
          <w:lang w:val="en-US" w:eastAsia="zh-CN" w:bidi="ar"/>
        </w:rPr>
        <w:t>本单位为</w:t>
      </w:r>
      <w:r>
        <w:rPr>
          <w:rFonts w:hint="eastAsia" w:asciiTheme="minorEastAsia" w:hAnsiTheme="minorEastAsia" w:cstheme="minorEastAsia"/>
          <w:kern w:val="2"/>
          <w:sz w:val="28"/>
          <w:szCs w:val="28"/>
          <w:u w:val="none"/>
          <w:lang w:val="en-US" w:eastAsia="zh-CN" w:bidi="ar"/>
        </w:rPr>
        <w:t>湘乡市东郊乡人民政府，</w:t>
      </w:r>
      <w:r>
        <w:rPr>
          <w:rFonts w:hint="eastAsia" w:asciiTheme="minorEastAsia" w:hAnsiTheme="minorEastAsia" w:eastAsiaTheme="minorEastAsia" w:cstheme="minorEastAsia"/>
          <w:kern w:val="2"/>
          <w:sz w:val="28"/>
          <w:szCs w:val="28"/>
          <w:u w:val="none"/>
          <w:lang w:val="en-US" w:eastAsia="zh-CN" w:bidi="ar"/>
        </w:rPr>
        <w:t>所属</w:t>
      </w:r>
      <w:r>
        <w:rPr>
          <w:rFonts w:hint="eastAsia" w:asciiTheme="minorEastAsia" w:hAnsiTheme="minorEastAsia" w:cstheme="minorEastAsia"/>
          <w:kern w:val="2"/>
          <w:sz w:val="28"/>
          <w:szCs w:val="28"/>
          <w:u w:val="none"/>
          <w:lang w:val="en-US" w:eastAsia="zh-CN" w:bidi="ar"/>
        </w:rPr>
        <w:t>一</w:t>
      </w:r>
      <w:r>
        <w:rPr>
          <w:rFonts w:hint="eastAsia" w:asciiTheme="minorEastAsia" w:hAnsiTheme="minorEastAsia" w:eastAsiaTheme="minorEastAsia" w:cstheme="minorEastAsia"/>
          <w:kern w:val="2"/>
          <w:sz w:val="28"/>
          <w:szCs w:val="28"/>
          <w:u w:val="none"/>
          <w:lang w:val="en-US" w:eastAsia="zh-CN" w:bidi="ar"/>
        </w:rPr>
        <w:t>级预算单位，单位性质为</w:t>
      </w:r>
      <w:r>
        <w:rPr>
          <w:rFonts w:hint="eastAsia" w:asciiTheme="minorEastAsia" w:hAnsiTheme="minorEastAsia" w:cstheme="minorEastAsia"/>
          <w:kern w:val="2"/>
          <w:sz w:val="28"/>
          <w:szCs w:val="28"/>
          <w:u w:val="none"/>
          <w:lang w:val="en-US" w:eastAsia="zh-CN" w:bidi="ar"/>
        </w:rPr>
        <w:t>行政</w:t>
      </w:r>
      <w:r>
        <w:rPr>
          <w:rFonts w:hint="eastAsia" w:asciiTheme="minorEastAsia" w:hAnsiTheme="minorEastAsia" w:eastAsiaTheme="minorEastAsia" w:cstheme="minorEastAsia"/>
          <w:kern w:val="2"/>
          <w:sz w:val="28"/>
          <w:szCs w:val="28"/>
          <w:u w:val="none"/>
          <w:lang w:val="en-US" w:eastAsia="zh-CN" w:bidi="ar"/>
        </w:rPr>
        <w:t>单位，决算编报类型为</w:t>
      </w:r>
      <w:r>
        <w:rPr>
          <w:rFonts w:hint="eastAsia" w:asciiTheme="minorEastAsia" w:hAnsiTheme="minorEastAsia" w:cstheme="minorEastAsia"/>
          <w:kern w:val="2"/>
          <w:sz w:val="28"/>
          <w:szCs w:val="28"/>
          <w:u w:val="none"/>
          <w:lang w:val="en-US" w:eastAsia="zh-CN" w:bidi="ar"/>
        </w:rPr>
        <w:t>单户表</w:t>
      </w:r>
      <w:r>
        <w:rPr>
          <w:rFonts w:hint="eastAsia" w:asciiTheme="minorEastAsia" w:hAnsiTheme="minorEastAsia" w:eastAsiaTheme="minorEastAsia" w:cstheme="minorEastAsia"/>
          <w:kern w:val="2"/>
          <w:sz w:val="28"/>
          <w:szCs w:val="28"/>
          <w:u w:val="none"/>
          <w:lang w:val="en-US" w:eastAsia="zh-CN" w:bidi="ar"/>
        </w:rPr>
        <w:t>，按照</w:t>
      </w:r>
      <w:r>
        <w:rPr>
          <w:rFonts w:hint="eastAsia" w:asciiTheme="minorEastAsia" w:hAnsiTheme="minorEastAsia" w:cstheme="minorEastAsia"/>
          <w:kern w:val="2"/>
          <w:sz w:val="28"/>
          <w:szCs w:val="28"/>
          <w:u w:val="none"/>
          <w:lang w:val="en-US" w:eastAsia="zh-CN" w:bidi="ar"/>
        </w:rPr>
        <w:t>政府</w:t>
      </w:r>
      <w:r>
        <w:rPr>
          <w:rFonts w:hint="eastAsia" w:asciiTheme="minorEastAsia" w:hAnsiTheme="minorEastAsia" w:eastAsiaTheme="minorEastAsia" w:cstheme="minorEastAsia"/>
          <w:kern w:val="2"/>
          <w:sz w:val="28"/>
          <w:szCs w:val="28"/>
          <w:u w:val="none"/>
          <w:lang w:val="en-US" w:eastAsia="zh-CN" w:bidi="ar"/>
        </w:rPr>
        <w:t>会计</w:t>
      </w:r>
      <w:r>
        <w:rPr>
          <w:rFonts w:hint="eastAsia" w:asciiTheme="minorEastAsia" w:hAnsiTheme="minorEastAsia" w:cstheme="minorEastAsia"/>
          <w:kern w:val="2"/>
          <w:sz w:val="28"/>
          <w:szCs w:val="28"/>
          <w:u w:val="none"/>
          <w:lang w:val="en-US" w:eastAsia="zh-CN" w:bidi="ar"/>
        </w:rPr>
        <w:t>准则</w:t>
      </w:r>
      <w:r>
        <w:rPr>
          <w:rFonts w:hint="eastAsia" w:asciiTheme="minorEastAsia" w:hAnsiTheme="minorEastAsia" w:eastAsiaTheme="minorEastAsia" w:cstheme="minorEastAsia"/>
          <w:kern w:val="2"/>
          <w:sz w:val="28"/>
          <w:szCs w:val="28"/>
          <w:u w:val="none"/>
          <w:lang w:val="en-US" w:eastAsia="zh-CN" w:bidi="ar"/>
        </w:rPr>
        <w:t>制度填报决算数据。</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cstheme="minorEastAsia"/>
          <w:kern w:val="2"/>
          <w:sz w:val="28"/>
          <w:szCs w:val="28"/>
          <w:u w:val="none"/>
          <w:lang w:val="en-US" w:eastAsia="zh-CN" w:bidi="ar"/>
        </w:rPr>
      </w:pPr>
      <w:r>
        <w:rPr>
          <w:rFonts w:hint="eastAsia" w:asciiTheme="minorEastAsia" w:hAnsiTheme="minorEastAsia" w:eastAsiaTheme="minorEastAsia" w:cstheme="minorEastAsia"/>
          <w:kern w:val="2"/>
          <w:sz w:val="28"/>
          <w:szCs w:val="28"/>
          <w:u w:val="none"/>
          <w:lang w:val="en-US" w:eastAsia="zh-CN" w:bidi="ar"/>
        </w:rPr>
        <w:t>纳入本套决算编制范围的独立核算单位共</w:t>
      </w:r>
      <w:r>
        <w:rPr>
          <w:rFonts w:hint="eastAsia" w:asciiTheme="minorEastAsia" w:hAnsiTheme="minorEastAsia" w:cstheme="minorEastAsia"/>
          <w:kern w:val="2"/>
          <w:sz w:val="28"/>
          <w:szCs w:val="28"/>
          <w:u w:val="none"/>
          <w:lang w:val="en-US" w:eastAsia="zh-CN" w:bidi="ar"/>
        </w:rPr>
        <w:t>1</w:t>
      </w:r>
      <w:r>
        <w:rPr>
          <w:rFonts w:hint="eastAsia" w:asciiTheme="minorEastAsia" w:hAnsiTheme="minorEastAsia" w:eastAsiaTheme="minorEastAsia" w:cstheme="minorEastAsia"/>
          <w:kern w:val="2"/>
          <w:sz w:val="28"/>
          <w:szCs w:val="28"/>
          <w:u w:val="none"/>
          <w:lang w:val="en-US" w:eastAsia="zh-CN" w:bidi="ar"/>
        </w:rPr>
        <w:t>个，</w:t>
      </w:r>
      <w:r>
        <w:rPr>
          <w:rFonts w:hint="eastAsia" w:asciiTheme="minorEastAsia" w:hAnsiTheme="minorEastAsia" w:cstheme="minorEastAsia"/>
          <w:kern w:val="2"/>
          <w:sz w:val="28"/>
          <w:szCs w:val="28"/>
          <w:u w:val="none"/>
          <w:lang w:val="en-US" w:eastAsia="zh-CN" w:bidi="ar"/>
        </w:rPr>
        <w:t>与上年一致，单位名为东郊乡人民政府。</w:t>
      </w:r>
    </w:p>
    <w:p>
      <w:pPr>
        <w:keepNext w:val="0"/>
        <w:keepLines w:val="0"/>
        <w:widowControl w:val="0"/>
        <w:suppressLineNumbers w:val="0"/>
        <w:spacing w:before="0" w:beforeAutospacing="0" w:after="0" w:afterAutospacing="0" w:line="360" w:lineRule="auto"/>
        <w:ind w:left="0" w:right="0" w:firstLine="562" w:firstLineChars="200"/>
        <w:jc w:val="both"/>
        <w:rPr>
          <w:rFonts w:hint="eastAsia" w:asciiTheme="minorEastAsia" w:hAnsiTheme="minorEastAsia" w:eastAsiaTheme="minorEastAsia" w:cstheme="minorEastAsia"/>
          <w:b/>
          <w:bCs/>
          <w:sz w:val="28"/>
          <w:szCs w:val="28"/>
          <w:u w:val="none"/>
          <w:lang w:val="en-US"/>
        </w:rPr>
      </w:pPr>
      <w:r>
        <w:rPr>
          <w:rFonts w:hint="eastAsia" w:asciiTheme="minorEastAsia" w:hAnsiTheme="minorEastAsia" w:eastAsiaTheme="minorEastAsia" w:cstheme="minorEastAsia"/>
          <w:b/>
          <w:bCs/>
          <w:kern w:val="2"/>
          <w:sz w:val="28"/>
          <w:szCs w:val="28"/>
          <w:u w:val="none"/>
          <w:lang w:val="en-US" w:eastAsia="zh-CN" w:bidi="ar"/>
        </w:rPr>
        <w:t>三、基础数据核对情况</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b w:val="0"/>
          <w:bCs/>
          <w:sz w:val="28"/>
          <w:szCs w:val="28"/>
          <w:u w:val="none"/>
          <w:lang w:val="en-US"/>
        </w:rPr>
      </w:pPr>
      <w:r>
        <w:rPr>
          <w:rFonts w:hint="eastAsia" w:asciiTheme="minorEastAsia" w:hAnsiTheme="minorEastAsia" w:eastAsiaTheme="minorEastAsia" w:cstheme="minorEastAsia"/>
          <w:b w:val="0"/>
          <w:bCs/>
          <w:kern w:val="2"/>
          <w:sz w:val="28"/>
          <w:szCs w:val="28"/>
          <w:u w:val="none"/>
          <w:lang w:val="en-US" w:eastAsia="zh-CN" w:bidi="ar"/>
        </w:rPr>
        <w:t>（一）财政资金对账情况。</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u w:val="none"/>
          <w:lang w:val="en-US"/>
        </w:rPr>
      </w:pPr>
      <w:r>
        <w:rPr>
          <w:rFonts w:hint="eastAsia" w:asciiTheme="minorEastAsia" w:hAnsiTheme="minorEastAsia" w:eastAsiaTheme="minorEastAsia" w:cstheme="minorEastAsia"/>
          <w:kern w:val="2"/>
          <w:sz w:val="28"/>
          <w:szCs w:val="28"/>
          <w:u w:val="none"/>
          <w:lang w:val="en-US" w:eastAsia="zh-CN" w:bidi="ar"/>
        </w:rPr>
        <w:t>1．财政拨款核对情况。</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cstheme="minorEastAsia"/>
          <w:kern w:val="2"/>
          <w:sz w:val="28"/>
          <w:szCs w:val="28"/>
          <w:u w:val="none"/>
          <w:lang w:val="en-US" w:eastAsia="zh-CN" w:bidi="ar"/>
        </w:rPr>
      </w:pPr>
      <w:r>
        <w:rPr>
          <w:rFonts w:hint="eastAsia" w:asciiTheme="minorEastAsia" w:hAnsiTheme="minorEastAsia" w:eastAsiaTheme="minorEastAsia" w:cstheme="minorEastAsia"/>
          <w:kern w:val="2"/>
          <w:sz w:val="28"/>
          <w:szCs w:val="28"/>
          <w:u w:val="none"/>
          <w:lang w:val="en-US" w:eastAsia="zh-CN" w:bidi="ar"/>
        </w:rPr>
        <w:t>（1）单位本年度实际收到的一般公共预算财政拨款收入</w:t>
      </w:r>
      <w:r>
        <w:rPr>
          <w:rFonts w:hint="eastAsia" w:asciiTheme="minorEastAsia" w:hAnsiTheme="minorEastAsia" w:cstheme="minorEastAsia"/>
          <w:kern w:val="2"/>
          <w:sz w:val="28"/>
          <w:szCs w:val="28"/>
          <w:u w:val="none"/>
          <w:lang w:val="en-US" w:eastAsia="zh-CN" w:bidi="ar"/>
        </w:rPr>
        <w:t>3167.76</w:t>
      </w:r>
      <w:r>
        <w:rPr>
          <w:rFonts w:hint="eastAsia" w:asciiTheme="minorEastAsia" w:hAnsiTheme="minorEastAsia" w:eastAsiaTheme="minorEastAsia" w:cstheme="minorEastAsia"/>
          <w:kern w:val="2"/>
          <w:sz w:val="28"/>
          <w:szCs w:val="28"/>
          <w:u w:val="none"/>
          <w:lang w:val="en-US" w:eastAsia="zh-CN" w:bidi="ar"/>
        </w:rPr>
        <w:t>万元，财政部门拨款对账单</w:t>
      </w:r>
      <w:r>
        <w:rPr>
          <w:rFonts w:hint="eastAsia" w:asciiTheme="minorEastAsia" w:hAnsiTheme="minorEastAsia" w:cstheme="minorEastAsia"/>
          <w:kern w:val="2"/>
          <w:sz w:val="28"/>
          <w:szCs w:val="28"/>
          <w:u w:val="none"/>
          <w:lang w:val="en-US" w:eastAsia="zh-CN" w:bidi="ar"/>
        </w:rPr>
        <w:t>3167.76</w:t>
      </w:r>
      <w:r>
        <w:rPr>
          <w:rFonts w:hint="eastAsia" w:asciiTheme="minorEastAsia" w:hAnsiTheme="minorEastAsia" w:eastAsiaTheme="minorEastAsia" w:cstheme="minorEastAsia"/>
          <w:kern w:val="2"/>
          <w:sz w:val="28"/>
          <w:szCs w:val="28"/>
          <w:u w:val="none"/>
          <w:lang w:val="en-US" w:eastAsia="zh-CN" w:bidi="ar"/>
        </w:rPr>
        <w:t>万元，</w:t>
      </w:r>
      <w:r>
        <w:rPr>
          <w:rFonts w:hint="eastAsia" w:asciiTheme="minorEastAsia" w:hAnsiTheme="minorEastAsia" w:cstheme="minorEastAsia"/>
          <w:kern w:val="2"/>
          <w:sz w:val="28"/>
          <w:szCs w:val="28"/>
          <w:u w:val="none"/>
          <w:lang w:val="en-US" w:eastAsia="zh-CN" w:bidi="ar"/>
        </w:rPr>
        <w:t>没有差额。</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cstheme="minorEastAsia"/>
          <w:kern w:val="2"/>
          <w:sz w:val="28"/>
          <w:szCs w:val="28"/>
          <w:u w:val="none"/>
          <w:lang w:val="en-US" w:eastAsia="zh-CN" w:bidi="ar"/>
        </w:rPr>
      </w:pPr>
      <w:r>
        <w:rPr>
          <w:rFonts w:hint="eastAsia" w:asciiTheme="minorEastAsia" w:hAnsiTheme="minorEastAsia" w:eastAsiaTheme="minorEastAsia" w:cstheme="minorEastAsia"/>
          <w:kern w:val="2"/>
          <w:sz w:val="28"/>
          <w:szCs w:val="28"/>
          <w:lang w:val="en-US" w:eastAsia="zh-CN" w:bidi="ar"/>
        </w:rPr>
        <w:t>（2）</w:t>
      </w:r>
      <w:r>
        <w:rPr>
          <w:rFonts w:hint="eastAsia" w:asciiTheme="minorEastAsia" w:hAnsiTheme="minorEastAsia" w:eastAsiaTheme="minorEastAsia" w:cstheme="minorEastAsia"/>
          <w:kern w:val="2"/>
          <w:sz w:val="28"/>
          <w:szCs w:val="28"/>
          <w:u w:val="none"/>
          <w:lang w:val="en-US" w:eastAsia="zh-CN" w:bidi="ar"/>
        </w:rPr>
        <w:t>单位本年度</w:t>
      </w:r>
      <w:r>
        <w:rPr>
          <w:rFonts w:hint="eastAsia" w:asciiTheme="minorEastAsia" w:hAnsiTheme="minorEastAsia" w:cstheme="minorEastAsia"/>
          <w:kern w:val="2"/>
          <w:sz w:val="28"/>
          <w:szCs w:val="28"/>
          <w:u w:val="none"/>
          <w:lang w:val="en-US" w:eastAsia="zh-CN" w:bidi="ar"/>
        </w:rPr>
        <w:t>政府性基金预算</w:t>
      </w:r>
      <w:r>
        <w:rPr>
          <w:rFonts w:hint="eastAsia" w:asciiTheme="minorEastAsia" w:hAnsiTheme="minorEastAsia" w:eastAsiaTheme="minorEastAsia" w:cstheme="minorEastAsia"/>
          <w:kern w:val="2"/>
          <w:sz w:val="28"/>
          <w:szCs w:val="28"/>
          <w:u w:val="none"/>
          <w:lang w:val="en-US" w:eastAsia="zh-CN" w:bidi="ar"/>
        </w:rPr>
        <w:t>财政拨款收入</w:t>
      </w:r>
      <w:r>
        <w:rPr>
          <w:rFonts w:hint="eastAsia" w:asciiTheme="minorEastAsia" w:hAnsiTheme="minorEastAsia" w:cstheme="minorEastAsia"/>
          <w:kern w:val="2"/>
          <w:sz w:val="28"/>
          <w:szCs w:val="28"/>
          <w:u w:val="none"/>
          <w:lang w:val="en-US" w:eastAsia="zh-CN" w:bidi="ar"/>
        </w:rPr>
        <w:t>12</w:t>
      </w:r>
      <w:r>
        <w:rPr>
          <w:rFonts w:hint="eastAsia" w:asciiTheme="minorEastAsia" w:hAnsiTheme="minorEastAsia" w:eastAsiaTheme="minorEastAsia" w:cstheme="minorEastAsia"/>
          <w:kern w:val="2"/>
          <w:sz w:val="28"/>
          <w:szCs w:val="28"/>
          <w:u w:val="none"/>
          <w:lang w:val="en-US" w:eastAsia="zh-CN" w:bidi="ar"/>
        </w:rPr>
        <w:t>万元，财政部门拨款对账单</w:t>
      </w:r>
      <w:r>
        <w:rPr>
          <w:rFonts w:hint="eastAsia" w:asciiTheme="minorEastAsia" w:hAnsiTheme="minorEastAsia" w:cstheme="minorEastAsia"/>
          <w:kern w:val="2"/>
          <w:sz w:val="28"/>
          <w:szCs w:val="28"/>
          <w:u w:val="none"/>
          <w:lang w:val="en-US" w:eastAsia="zh-CN" w:bidi="ar"/>
        </w:rPr>
        <w:t>12</w:t>
      </w:r>
      <w:r>
        <w:rPr>
          <w:rFonts w:hint="eastAsia" w:asciiTheme="minorEastAsia" w:hAnsiTheme="minorEastAsia" w:eastAsiaTheme="minorEastAsia" w:cstheme="minorEastAsia"/>
          <w:kern w:val="2"/>
          <w:sz w:val="28"/>
          <w:szCs w:val="28"/>
          <w:u w:val="none"/>
          <w:lang w:val="en-US" w:eastAsia="zh-CN" w:bidi="ar"/>
        </w:rPr>
        <w:t>万元，</w:t>
      </w:r>
      <w:r>
        <w:rPr>
          <w:rFonts w:hint="eastAsia" w:asciiTheme="minorEastAsia" w:hAnsiTheme="minorEastAsia" w:cstheme="minorEastAsia"/>
          <w:kern w:val="2"/>
          <w:sz w:val="28"/>
          <w:szCs w:val="28"/>
          <w:u w:val="none"/>
          <w:lang w:val="en-US" w:eastAsia="zh-CN" w:bidi="ar"/>
        </w:rPr>
        <w:t>没有差额。</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cstheme="minorEastAsia"/>
          <w:kern w:val="2"/>
          <w:sz w:val="28"/>
          <w:szCs w:val="28"/>
          <w:lang w:val="en-US" w:eastAsia="zh-CN" w:bidi="ar"/>
        </w:rPr>
      </w:pPr>
      <w:r>
        <w:rPr>
          <w:rFonts w:hint="eastAsia" w:asciiTheme="minorEastAsia" w:hAnsiTheme="minorEastAsia" w:eastAsiaTheme="minorEastAsia" w:cstheme="minorEastAsia"/>
          <w:kern w:val="2"/>
          <w:sz w:val="28"/>
          <w:szCs w:val="28"/>
          <w:lang w:val="en-US" w:eastAsia="zh-CN" w:bidi="ar"/>
        </w:rPr>
        <w:t>（3）单位本年度</w:t>
      </w:r>
      <w:r>
        <w:rPr>
          <w:rFonts w:hint="eastAsia" w:asciiTheme="minorEastAsia" w:hAnsiTheme="minorEastAsia" w:cstheme="minorEastAsia"/>
          <w:kern w:val="2"/>
          <w:sz w:val="28"/>
          <w:szCs w:val="28"/>
          <w:lang w:val="en-US" w:eastAsia="zh-CN" w:bidi="ar"/>
        </w:rPr>
        <w:t>无</w:t>
      </w:r>
      <w:r>
        <w:rPr>
          <w:rFonts w:hint="eastAsia" w:asciiTheme="minorEastAsia" w:hAnsiTheme="minorEastAsia" w:eastAsiaTheme="minorEastAsia" w:cstheme="minorEastAsia"/>
          <w:kern w:val="2"/>
          <w:sz w:val="28"/>
          <w:szCs w:val="28"/>
          <w:lang w:val="en-US" w:eastAsia="zh-CN" w:bidi="ar"/>
        </w:rPr>
        <w:t>国有资本经营预算财政拨款收入</w:t>
      </w:r>
      <w:r>
        <w:rPr>
          <w:rFonts w:hint="eastAsia" w:asciiTheme="minorEastAsia" w:hAnsiTheme="minorEastAsia" w:cstheme="minorEastAsia"/>
          <w:kern w:val="2"/>
          <w:sz w:val="28"/>
          <w:szCs w:val="28"/>
          <w:lang w:val="en-US" w:eastAsia="zh-CN" w:bidi="ar"/>
        </w:rPr>
        <w:t>。</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kern w:val="2"/>
          <w:sz w:val="28"/>
          <w:szCs w:val="28"/>
          <w:lang w:val="en-US" w:eastAsia="zh-CN" w:bidi="ar"/>
        </w:rPr>
        <w:t>2．单位本年度</w:t>
      </w:r>
      <w:r>
        <w:rPr>
          <w:rFonts w:hint="eastAsia" w:asciiTheme="minorEastAsia" w:hAnsiTheme="minorEastAsia" w:cstheme="minorEastAsia"/>
          <w:kern w:val="2"/>
          <w:sz w:val="28"/>
          <w:szCs w:val="28"/>
          <w:lang w:val="en-US" w:eastAsia="zh-CN" w:bidi="ar"/>
        </w:rPr>
        <w:t>无</w:t>
      </w:r>
      <w:r>
        <w:rPr>
          <w:rFonts w:hint="eastAsia" w:asciiTheme="minorEastAsia" w:hAnsiTheme="minorEastAsia" w:eastAsiaTheme="minorEastAsia" w:cstheme="minorEastAsia"/>
          <w:kern w:val="2"/>
          <w:sz w:val="28"/>
          <w:szCs w:val="28"/>
          <w:lang w:val="en-US" w:eastAsia="zh-CN" w:bidi="ar"/>
        </w:rPr>
        <w:t>其他需要说明的情况。</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b w:val="0"/>
          <w:bCs/>
          <w:sz w:val="28"/>
          <w:szCs w:val="28"/>
          <w:lang w:val="en-US"/>
        </w:rPr>
      </w:pPr>
      <w:r>
        <w:rPr>
          <w:rFonts w:hint="eastAsia" w:asciiTheme="minorEastAsia" w:hAnsiTheme="minorEastAsia" w:eastAsiaTheme="minorEastAsia" w:cstheme="minorEastAsia"/>
          <w:b w:val="0"/>
          <w:bCs/>
          <w:kern w:val="2"/>
          <w:sz w:val="28"/>
          <w:szCs w:val="28"/>
          <w:lang w:val="en-US" w:eastAsia="zh-CN" w:bidi="ar"/>
        </w:rPr>
        <w:t>（二）与上年指标核对情况。</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cstheme="minorEastAsia"/>
          <w:kern w:val="2"/>
          <w:sz w:val="28"/>
          <w:szCs w:val="28"/>
          <w:lang w:val="en-US" w:eastAsia="zh-CN" w:bidi="ar"/>
        </w:rPr>
      </w:pPr>
      <w:r>
        <w:rPr>
          <w:rFonts w:hint="eastAsia" w:asciiTheme="minorEastAsia" w:hAnsiTheme="minorEastAsia" w:eastAsiaTheme="minorEastAsia" w:cstheme="minorEastAsia"/>
          <w:kern w:val="2"/>
          <w:sz w:val="28"/>
          <w:szCs w:val="28"/>
          <w:lang w:val="en-US" w:eastAsia="zh-CN" w:bidi="ar"/>
        </w:rPr>
        <w:t>1．全口径、一般公共预算财政拨款</w:t>
      </w:r>
      <w:r>
        <w:rPr>
          <w:rFonts w:hint="eastAsia" w:asciiTheme="minorEastAsia" w:hAnsiTheme="minorEastAsia" w:cstheme="minorEastAsia"/>
          <w:kern w:val="2"/>
          <w:sz w:val="28"/>
          <w:szCs w:val="28"/>
          <w:lang w:val="en-US" w:eastAsia="zh-CN" w:bidi="ar"/>
        </w:rPr>
        <w:t>和政府性基金预算财政拨款的</w:t>
      </w:r>
      <w:r>
        <w:rPr>
          <w:rFonts w:hint="eastAsia" w:asciiTheme="minorEastAsia" w:hAnsiTheme="minorEastAsia" w:eastAsiaTheme="minorEastAsia" w:cstheme="minorEastAsia"/>
          <w:kern w:val="2"/>
          <w:sz w:val="28"/>
          <w:szCs w:val="28"/>
          <w:lang w:val="en-US" w:eastAsia="zh-CN" w:bidi="ar"/>
        </w:rPr>
        <w:t>本年年初数</w:t>
      </w:r>
      <w:r>
        <w:rPr>
          <w:rFonts w:hint="eastAsia" w:asciiTheme="minorEastAsia" w:hAnsiTheme="minorEastAsia" w:cstheme="minorEastAsia"/>
          <w:kern w:val="2"/>
          <w:sz w:val="28"/>
          <w:szCs w:val="28"/>
          <w:lang w:val="en-US" w:eastAsia="zh-CN" w:bidi="ar"/>
        </w:rPr>
        <w:t>为零，</w:t>
      </w:r>
      <w:r>
        <w:rPr>
          <w:rFonts w:hint="eastAsia" w:asciiTheme="minorEastAsia" w:hAnsiTheme="minorEastAsia" w:eastAsiaTheme="minorEastAsia" w:cstheme="minorEastAsia"/>
          <w:kern w:val="2"/>
          <w:sz w:val="28"/>
          <w:szCs w:val="28"/>
          <w:lang w:val="en-US" w:eastAsia="zh-CN" w:bidi="ar"/>
        </w:rPr>
        <w:t>与上年年末数一致</w:t>
      </w:r>
      <w:r>
        <w:rPr>
          <w:rFonts w:hint="eastAsia" w:asciiTheme="minorEastAsia" w:hAnsiTheme="minorEastAsia" w:cstheme="minorEastAsia"/>
          <w:kern w:val="2"/>
          <w:sz w:val="28"/>
          <w:szCs w:val="28"/>
          <w:lang w:val="en-US" w:eastAsia="zh-CN" w:bidi="ar"/>
        </w:rPr>
        <w:t>。</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kern w:val="2"/>
          <w:sz w:val="28"/>
          <w:szCs w:val="28"/>
          <w:lang w:val="en-US" w:eastAsia="zh-CN" w:bidi="ar"/>
        </w:rPr>
        <w:t>2．主要指标上下年变动幅度超过20%，其中</w:t>
      </w:r>
      <w:r>
        <w:rPr>
          <w:rFonts w:hint="eastAsia" w:asciiTheme="minorEastAsia" w:hAnsiTheme="minorEastAsia" w:cstheme="minorEastAsia"/>
          <w:kern w:val="2"/>
          <w:sz w:val="28"/>
          <w:szCs w:val="28"/>
          <w:lang w:val="en-US" w:eastAsia="zh-CN" w:bidi="ar"/>
        </w:rPr>
        <w:t>货币资金比上年度增加14907.47%，其原因是年底跨年度货币资金发放导致备用金增加；培训费减少92.12%，原因是本年度培训减少，相关支出严格控制；会议费增加275.85%，原因是本年度在东郊乡召开农业生产观摩推进会</w:t>
      </w:r>
      <w:r>
        <w:rPr>
          <w:rFonts w:hint="eastAsia" w:asciiTheme="minorEastAsia" w:hAnsiTheme="minorEastAsia" w:eastAsiaTheme="minorEastAsia" w:cstheme="minorEastAsia"/>
          <w:kern w:val="2"/>
          <w:sz w:val="28"/>
          <w:szCs w:val="28"/>
          <w:lang w:val="en-US" w:eastAsia="zh-CN" w:bidi="ar"/>
        </w:rPr>
        <w:t>。</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cstheme="minorEastAsia"/>
          <w:color w:val="auto"/>
          <w:kern w:val="2"/>
          <w:sz w:val="28"/>
          <w:szCs w:val="28"/>
          <w:lang w:val="en-US" w:eastAsia="zh-CN" w:bidi="ar"/>
        </w:rPr>
      </w:pPr>
      <w:r>
        <w:rPr>
          <w:rFonts w:hint="eastAsia" w:asciiTheme="minorEastAsia" w:hAnsiTheme="minorEastAsia" w:eastAsiaTheme="minorEastAsia" w:cstheme="minorEastAsia"/>
          <w:color w:val="auto"/>
          <w:kern w:val="2"/>
          <w:sz w:val="28"/>
          <w:szCs w:val="28"/>
          <w:lang w:val="en-US" w:eastAsia="zh-CN" w:bidi="ar"/>
        </w:rPr>
        <w:t>3．资产信息中房屋、车辆本年年初数与上年年末数一致</w:t>
      </w:r>
      <w:r>
        <w:rPr>
          <w:rFonts w:hint="eastAsia" w:asciiTheme="minorEastAsia" w:hAnsiTheme="minorEastAsia" w:cstheme="minorEastAsia"/>
          <w:color w:val="auto"/>
          <w:kern w:val="2"/>
          <w:sz w:val="28"/>
          <w:szCs w:val="28"/>
          <w:lang w:val="en-US" w:eastAsia="zh-CN" w:bidi="ar"/>
        </w:rPr>
        <w:t>。</w:t>
      </w:r>
    </w:p>
    <w:p>
      <w:pPr>
        <w:keepNext w:val="0"/>
        <w:keepLines w:val="0"/>
        <w:widowControl w:val="0"/>
        <w:suppressLineNumbers w:val="0"/>
        <w:spacing w:before="0" w:beforeAutospacing="0" w:after="0" w:afterAutospacing="0" w:line="360" w:lineRule="auto"/>
        <w:ind w:left="0" w:right="0" w:firstLine="562" w:firstLineChars="200"/>
        <w:jc w:val="both"/>
        <w:rPr>
          <w:rFonts w:hint="eastAsia"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kern w:val="2"/>
          <w:sz w:val="28"/>
          <w:szCs w:val="28"/>
          <w:lang w:val="en-US" w:eastAsia="zh-CN" w:bidi="ar"/>
        </w:rPr>
        <w:t>四、报表审核情况</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kern w:val="2"/>
          <w:sz w:val="28"/>
          <w:szCs w:val="28"/>
          <w:lang w:val="en-US" w:eastAsia="zh-CN" w:bidi="ar"/>
        </w:rPr>
        <w:t>1．审核公式。</w:t>
      </w:r>
    </w:p>
    <w:p>
      <w:pPr>
        <w:keepNext w:val="0"/>
        <w:keepLines w:val="0"/>
        <w:widowControl w:val="0"/>
        <w:suppressLineNumbers w:val="0"/>
        <w:spacing w:before="0" w:beforeAutospacing="0" w:after="0" w:afterAutospacing="0" w:line="360" w:lineRule="auto"/>
        <w:ind w:left="0" w:right="0" w:firstLine="560" w:firstLineChars="200"/>
        <w:jc w:val="both"/>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审核公式共提示1条，如下：</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kern w:val="2"/>
          <w:sz w:val="28"/>
          <w:szCs w:val="28"/>
          <w:lang w:val="en-US" w:eastAsia="zh-CN" w:bidi="ar"/>
        </w:rPr>
      </w:pP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kern w:val="2"/>
          <w:sz w:val="28"/>
          <w:szCs w:val="28"/>
          <w:lang w:val="en-US" w:eastAsia="zh-CN" w:bidi="ar"/>
        </w:rPr>
        <w:tab/>
      </w:r>
      <w:r>
        <w:rPr>
          <w:rFonts w:hint="eastAsia" w:asciiTheme="minorEastAsia" w:hAnsiTheme="minorEastAsia" w:eastAsiaTheme="minorEastAsia" w:cstheme="minorEastAsia"/>
          <w:kern w:val="2"/>
          <w:sz w:val="28"/>
          <w:szCs w:val="28"/>
          <w:lang w:val="en-US" w:eastAsia="zh-CN" w:bidi="ar"/>
        </w:rPr>
        <w:t>　—　？　请核实（有错调整，无错保留）　[F02] 基本数字表(财决附02表) &lt;3&gt; 【核实性审核公式】</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kern w:val="2"/>
          <w:sz w:val="28"/>
          <w:szCs w:val="28"/>
          <w:lang w:val="en-US" w:eastAsia="zh-CN" w:bidi="ar"/>
        </w:rPr>
      </w:pPr>
      <w:r>
        <w:rPr>
          <w:rFonts w:hint="eastAsia" w:asciiTheme="minorEastAsia" w:hAnsiTheme="minorEastAsia" w:eastAsiaTheme="minorEastAsia" w:cstheme="minorEastAsia"/>
          <w:kern w:val="2"/>
          <w:sz w:val="28"/>
          <w:szCs w:val="28"/>
          <w:lang w:val="en-US" w:eastAsia="zh-CN" w:bidi="ar"/>
        </w:rPr>
        <w:t xml:space="preserve">    B2393．一般有机构就应有编制人员，请注意机构和人员科目的一致性，</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kern w:val="2"/>
          <w:sz w:val="28"/>
          <w:szCs w:val="28"/>
          <w:lang w:val="en-US" w:eastAsia="zh-CN" w:bidi="ar"/>
        </w:rPr>
      </w:pPr>
      <w:r>
        <w:rPr>
          <w:rFonts w:hint="eastAsia" w:asciiTheme="minorEastAsia" w:hAnsiTheme="minorEastAsia" w:eastAsiaTheme="minorEastAsia" w:cstheme="minorEastAsia"/>
          <w:kern w:val="2"/>
          <w:sz w:val="28"/>
          <w:szCs w:val="28"/>
          <w:lang w:val="en-US" w:eastAsia="zh-CN" w:bidi="ar"/>
        </w:rPr>
        <w:t xml:space="preserve">    ＜2130104＞([2,9]+[2,16])=0 (([2,9]+[2,16]))-(0)=0</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kern w:val="2"/>
          <w:sz w:val="28"/>
          <w:szCs w:val="28"/>
          <w:lang w:val="en-US" w:eastAsia="zh-CN" w:bidi="ar"/>
        </w:rPr>
      </w:pPr>
      <w:r>
        <w:rPr>
          <w:rFonts w:hint="eastAsia" w:asciiTheme="minorEastAsia" w:hAnsiTheme="minorEastAsia" w:eastAsiaTheme="minorEastAsia" w:cstheme="minorEastAsia"/>
          <w:kern w:val="2"/>
          <w:sz w:val="28"/>
          <w:szCs w:val="28"/>
          <w:lang w:val="en-US" w:eastAsia="zh-CN" w:bidi="ar"/>
        </w:rPr>
        <w:t xml:space="preserve">  </w:t>
      </w:r>
      <w:r>
        <w:rPr>
          <w:rFonts w:hint="eastAsia" w:asciiTheme="minorEastAsia" w:hAnsiTheme="minorEastAsia" w:cstheme="minorEastAsia"/>
          <w:kern w:val="2"/>
          <w:sz w:val="28"/>
          <w:szCs w:val="28"/>
          <w:lang w:val="en-US" w:eastAsia="zh-CN" w:bidi="ar"/>
        </w:rPr>
        <w:t>保留原因</w:t>
      </w:r>
      <w:r>
        <w:rPr>
          <w:rFonts w:hint="eastAsia" w:asciiTheme="minorEastAsia" w:hAnsiTheme="minorEastAsia" w:eastAsiaTheme="minorEastAsia" w:cstheme="minorEastAsia"/>
          <w:kern w:val="2"/>
          <w:sz w:val="28"/>
          <w:szCs w:val="28"/>
          <w:lang w:val="en-US" w:eastAsia="zh-CN" w:bidi="ar"/>
        </w:rPr>
        <w:t>：</w:t>
      </w:r>
    </w:p>
    <w:p>
      <w:pPr>
        <w:keepNext w:val="0"/>
        <w:keepLines w:val="0"/>
        <w:widowControl w:val="0"/>
        <w:suppressLineNumbers w:val="0"/>
        <w:spacing w:before="0" w:beforeAutospacing="0" w:after="0" w:afterAutospacing="0" w:line="360" w:lineRule="auto"/>
        <w:ind w:left="0" w:right="0" w:firstLine="840" w:firstLineChars="300"/>
        <w:jc w:val="both"/>
        <w:rPr>
          <w:rFonts w:hint="default" w:asciiTheme="minorEastAsia" w:hAnsiTheme="minorEastAsia" w:eastAsiaTheme="minorEastAsia" w:cstheme="minorEastAsia"/>
          <w:kern w:val="2"/>
          <w:sz w:val="28"/>
          <w:szCs w:val="28"/>
          <w:lang w:val="en-US" w:eastAsia="zh-CN" w:bidi="ar"/>
        </w:rPr>
      </w:pPr>
      <w:r>
        <w:rPr>
          <w:rFonts w:hint="eastAsia" w:asciiTheme="minorEastAsia" w:hAnsiTheme="minorEastAsia" w:eastAsiaTheme="minorEastAsia" w:cstheme="minorEastAsia"/>
          <w:kern w:val="2"/>
          <w:sz w:val="28"/>
          <w:szCs w:val="28"/>
          <w:lang w:val="en-US" w:eastAsia="zh-CN" w:bidi="ar"/>
        </w:rPr>
        <w:t>本单位有行政和事业两块的人员，其人员的基本支出也是分行政运行和事业运行来处理的，</w:t>
      </w:r>
      <w:r>
        <w:rPr>
          <w:rFonts w:hint="eastAsia" w:asciiTheme="minorEastAsia" w:hAnsiTheme="minorEastAsia" w:cstheme="minorEastAsia"/>
          <w:kern w:val="2"/>
          <w:sz w:val="28"/>
          <w:szCs w:val="28"/>
          <w:lang w:val="en-US" w:eastAsia="zh-CN" w:bidi="ar"/>
        </w:rPr>
        <w:t>基本数字表中同样有编制人员数，</w:t>
      </w:r>
      <w:r>
        <w:rPr>
          <w:rFonts w:hint="eastAsia" w:asciiTheme="minorEastAsia" w:hAnsiTheme="minorEastAsia" w:eastAsiaTheme="minorEastAsia" w:cstheme="minorEastAsia"/>
          <w:kern w:val="2"/>
          <w:sz w:val="28"/>
          <w:szCs w:val="28"/>
          <w:lang w:val="en-US" w:eastAsia="zh-CN" w:bidi="ar"/>
        </w:rPr>
        <w:t>2130104功能科目是按实填报的</w:t>
      </w:r>
      <w:r>
        <w:rPr>
          <w:rFonts w:hint="eastAsia" w:asciiTheme="minorEastAsia" w:hAnsiTheme="minorEastAsia" w:cstheme="minorEastAsia"/>
          <w:kern w:val="2"/>
          <w:sz w:val="28"/>
          <w:szCs w:val="28"/>
          <w:lang w:val="en-US" w:eastAsia="zh-CN" w:bidi="ar"/>
        </w:rPr>
        <w:t>，</w:t>
      </w:r>
      <w:r>
        <w:rPr>
          <w:rFonts w:hint="eastAsia" w:asciiTheme="minorEastAsia" w:hAnsiTheme="minorEastAsia" w:eastAsiaTheme="minorEastAsia" w:cstheme="minorEastAsia"/>
          <w:kern w:val="2"/>
          <w:sz w:val="28"/>
          <w:szCs w:val="28"/>
          <w:lang w:val="en-US" w:eastAsia="zh-CN" w:bidi="ar"/>
        </w:rPr>
        <w:t>所以</w:t>
      </w:r>
      <w:r>
        <w:rPr>
          <w:rFonts w:hint="eastAsia" w:asciiTheme="minorEastAsia" w:hAnsiTheme="minorEastAsia" w:cstheme="minorEastAsia"/>
          <w:kern w:val="2"/>
          <w:sz w:val="28"/>
          <w:szCs w:val="28"/>
          <w:lang w:val="en-US" w:eastAsia="zh-CN" w:bidi="ar"/>
        </w:rPr>
        <w:t>此公式保留。</w:t>
      </w:r>
    </w:p>
    <w:p>
      <w:pPr>
        <w:keepNext w:val="0"/>
        <w:keepLines w:val="0"/>
        <w:widowControl w:val="0"/>
        <w:suppressLineNumbers w:val="0"/>
        <w:spacing w:before="0" w:beforeAutospacing="0" w:after="0" w:afterAutospacing="0" w:line="360" w:lineRule="auto"/>
        <w:ind w:right="0" w:firstLine="560" w:firstLineChars="200"/>
        <w:jc w:val="both"/>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kern w:val="2"/>
          <w:sz w:val="28"/>
          <w:szCs w:val="28"/>
          <w:lang w:val="en-US" w:eastAsia="zh-CN" w:bidi="ar"/>
        </w:rPr>
        <w:t>2．审核模板。</w:t>
      </w:r>
    </w:p>
    <w:p>
      <w:pPr>
        <w:spacing w:beforeLines="0" w:afterLines="0"/>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单位本年度无此说明。</w:t>
      </w:r>
    </w:p>
    <w:p>
      <w:pPr>
        <w:keepNext w:val="0"/>
        <w:keepLines w:val="0"/>
        <w:widowControl w:val="0"/>
        <w:suppressLineNumbers w:val="0"/>
        <w:spacing w:before="0" w:beforeAutospacing="0" w:after="0" w:afterAutospacing="0" w:line="360" w:lineRule="auto"/>
        <w:ind w:left="0" w:right="0" w:firstLine="562" w:firstLineChars="200"/>
        <w:jc w:val="both"/>
        <w:rPr>
          <w:rFonts w:hint="eastAsia"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kern w:val="2"/>
          <w:sz w:val="28"/>
          <w:szCs w:val="28"/>
          <w:lang w:val="en-US" w:eastAsia="zh-CN" w:bidi="ar"/>
        </w:rPr>
        <w:t>五、决算数据其他需要说明的情况</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cstheme="minorEastAsia"/>
          <w:kern w:val="2"/>
          <w:sz w:val="28"/>
          <w:szCs w:val="28"/>
          <w:lang w:val="en-US" w:eastAsia="zh-CN" w:bidi="ar"/>
        </w:rPr>
      </w:pPr>
      <w:r>
        <w:rPr>
          <w:rFonts w:hint="eastAsia" w:asciiTheme="minorEastAsia" w:hAnsiTheme="minorEastAsia" w:eastAsiaTheme="minorEastAsia" w:cstheme="minorEastAsia"/>
          <w:kern w:val="2"/>
          <w:sz w:val="28"/>
          <w:szCs w:val="28"/>
          <w:lang w:val="en-US" w:eastAsia="zh-CN" w:bidi="ar"/>
        </w:rPr>
        <w:t>1．</w:t>
      </w:r>
      <w:r>
        <w:rPr>
          <w:rFonts w:hint="eastAsia" w:asciiTheme="minorEastAsia" w:hAnsiTheme="minorEastAsia" w:cstheme="minorEastAsia"/>
          <w:kern w:val="2"/>
          <w:sz w:val="28"/>
          <w:szCs w:val="28"/>
          <w:lang w:val="en-US" w:eastAsia="zh-CN" w:bidi="ar"/>
        </w:rPr>
        <w:t>本年度本单位</w:t>
      </w:r>
      <w:r>
        <w:rPr>
          <w:rFonts w:hint="eastAsia" w:asciiTheme="minorEastAsia" w:hAnsiTheme="minorEastAsia" w:eastAsiaTheme="minorEastAsia" w:cstheme="minorEastAsia"/>
          <w:kern w:val="2"/>
          <w:sz w:val="28"/>
          <w:szCs w:val="28"/>
          <w:lang w:val="en-US" w:eastAsia="zh-CN" w:bidi="ar"/>
        </w:rPr>
        <w:t>“收入决算表”</w:t>
      </w:r>
      <w:r>
        <w:rPr>
          <w:rFonts w:hint="eastAsia" w:asciiTheme="minorEastAsia" w:hAnsiTheme="minorEastAsia" w:cstheme="minorEastAsia"/>
          <w:kern w:val="2"/>
          <w:sz w:val="28"/>
          <w:szCs w:val="28"/>
          <w:lang w:val="en-US" w:eastAsia="zh-CN" w:bidi="ar"/>
        </w:rPr>
        <w:t>中</w:t>
      </w:r>
      <w:r>
        <w:rPr>
          <w:rFonts w:hint="eastAsia" w:asciiTheme="minorEastAsia" w:hAnsiTheme="minorEastAsia" w:eastAsiaTheme="minorEastAsia" w:cstheme="minorEastAsia"/>
          <w:kern w:val="2"/>
          <w:sz w:val="28"/>
          <w:szCs w:val="28"/>
          <w:lang w:val="en-US" w:eastAsia="zh-CN" w:bidi="ar"/>
        </w:rPr>
        <w:t>其他收入</w:t>
      </w:r>
      <w:r>
        <w:rPr>
          <w:rFonts w:hint="eastAsia" w:asciiTheme="minorEastAsia" w:hAnsiTheme="minorEastAsia" w:cstheme="minorEastAsia"/>
          <w:kern w:val="2"/>
          <w:sz w:val="28"/>
          <w:szCs w:val="28"/>
          <w:lang w:val="en-US" w:eastAsia="zh-CN" w:bidi="ar"/>
        </w:rPr>
        <w:t>为6493264.13元。</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kern w:val="2"/>
          <w:sz w:val="28"/>
          <w:szCs w:val="28"/>
          <w:lang w:val="en-US" w:eastAsia="zh-CN" w:bidi="ar"/>
        </w:rPr>
        <w:t>2．</w:t>
      </w:r>
      <w:r>
        <w:rPr>
          <w:rFonts w:hint="eastAsia" w:asciiTheme="minorEastAsia" w:hAnsiTheme="minorEastAsia" w:cstheme="minorEastAsia"/>
          <w:kern w:val="2"/>
          <w:sz w:val="28"/>
          <w:szCs w:val="28"/>
          <w:lang w:val="en-US" w:eastAsia="zh-CN" w:bidi="ar"/>
        </w:rPr>
        <w:t>本年度本单位无</w:t>
      </w:r>
      <w:r>
        <w:rPr>
          <w:rFonts w:hint="eastAsia" w:asciiTheme="minorEastAsia" w:hAnsiTheme="minorEastAsia" w:eastAsiaTheme="minorEastAsia" w:cstheme="minorEastAsia"/>
          <w:kern w:val="2"/>
          <w:sz w:val="28"/>
          <w:szCs w:val="28"/>
          <w:lang w:val="en-US" w:eastAsia="zh-CN" w:bidi="ar"/>
        </w:rPr>
        <w:t>年末结转结余扣除经营亏损后为负数</w:t>
      </w:r>
      <w:r>
        <w:rPr>
          <w:rFonts w:hint="eastAsia" w:asciiTheme="minorEastAsia" w:hAnsiTheme="minorEastAsia" w:cstheme="minorEastAsia"/>
          <w:kern w:val="2"/>
          <w:sz w:val="28"/>
          <w:szCs w:val="28"/>
          <w:lang w:val="en-US" w:eastAsia="zh-CN" w:bidi="ar"/>
        </w:rPr>
        <w:t>的情况</w:t>
      </w:r>
      <w:r>
        <w:rPr>
          <w:rFonts w:hint="eastAsia" w:asciiTheme="minorEastAsia" w:hAnsiTheme="minorEastAsia" w:eastAsiaTheme="minorEastAsia" w:cstheme="minorEastAsia"/>
          <w:kern w:val="2"/>
          <w:sz w:val="28"/>
          <w:szCs w:val="28"/>
          <w:lang w:val="en-US" w:eastAsia="zh-CN" w:bidi="ar"/>
        </w:rPr>
        <w:t>。</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kern w:val="2"/>
          <w:sz w:val="28"/>
          <w:szCs w:val="28"/>
          <w:lang w:val="en-US" w:eastAsia="zh-CN" w:bidi="ar"/>
        </w:rPr>
        <w:t>3．</w:t>
      </w:r>
      <w:r>
        <w:rPr>
          <w:rFonts w:hint="eastAsia" w:asciiTheme="minorEastAsia" w:hAnsiTheme="minorEastAsia" w:cstheme="minorEastAsia"/>
          <w:kern w:val="2"/>
          <w:sz w:val="28"/>
          <w:szCs w:val="28"/>
          <w:lang w:val="en-US" w:eastAsia="zh-CN" w:bidi="ar"/>
        </w:rPr>
        <w:t>本年度本单位无</w:t>
      </w:r>
      <w:r>
        <w:rPr>
          <w:rFonts w:hint="eastAsia" w:asciiTheme="minorEastAsia" w:hAnsiTheme="minorEastAsia" w:eastAsiaTheme="minorEastAsia" w:cstheme="minorEastAsia"/>
          <w:kern w:val="2"/>
          <w:sz w:val="28"/>
          <w:szCs w:val="28"/>
          <w:lang w:val="en-US" w:eastAsia="zh-CN" w:bidi="ar"/>
        </w:rPr>
        <w:t>“项目支出决算明细表”中列支“工资福利支出”和“对个人和家庭的补助”的依据及说明。</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kern w:val="2"/>
          <w:sz w:val="28"/>
          <w:szCs w:val="28"/>
          <w:lang w:val="en-US" w:eastAsia="zh-CN" w:bidi="ar"/>
        </w:rPr>
        <w:t>4．“三公”经费</w:t>
      </w:r>
      <w:r>
        <w:rPr>
          <w:rFonts w:hint="eastAsia" w:asciiTheme="minorEastAsia" w:hAnsiTheme="minorEastAsia" w:cstheme="minorEastAsia"/>
          <w:kern w:val="2"/>
          <w:sz w:val="28"/>
          <w:szCs w:val="28"/>
          <w:lang w:val="en-US" w:eastAsia="zh-CN" w:bidi="ar"/>
        </w:rPr>
        <w:t>中的</w:t>
      </w:r>
      <w:r>
        <w:rPr>
          <w:rFonts w:hint="eastAsia" w:asciiTheme="minorEastAsia" w:hAnsiTheme="minorEastAsia" w:eastAsiaTheme="minorEastAsia" w:cstheme="minorEastAsia"/>
          <w:sz w:val="28"/>
          <w:szCs w:val="28"/>
          <w:lang w:val="en-US" w:eastAsia="zh-CN"/>
        </w:rPr>
        <w:t>“公务接待费”</w:t>
      </w:r>
      <w:r>
        <w:rPr>
          <w:rFonts w:hint="eastAsia" w:asciiTheme="minorEastAsia" w:hAnsiTheme="minorEastAsia" w:cstheme="minorEastAsia"/>
          <w:sz w:val="28"/>
          <w:szCs w:val="28"/>
          <w:lang w:val="en-US" w:eastAsia="zh-CN"/>
        </w:rPr>
        <w:t>115638.93</w:t>
      </w:r>
      <w:r>
        <w:rPr>
          <w:rFonts w:hint="eastAsia" w:asciiTheme="minorEastAsia" w:hAnsiTheme="minorEastAsia" w:eastAsiaTheme="minorEastAsia" w:cstheme="minorEastAsia"/>
          <w:sz w:val="28"/>
          <w:szCs w:val="28"/>
          <w:lang w:val="en-US" w:eastAsia="zh-CN"/>
        </w:rPr>
        <w:t>元，国内接待批次</w:t>
      </w:r>
      <w:r>
        <w:rPr>
          <w:rFonts w:hint="eastAsia" w:asciiTheme="minorEastAsia" w:hAnsiTheme="minorEastAsia" w:cstheme="minorEastAsia"/>
          <w:sz w:val="28"/>
          <w:szCs w:val="28"/>
          <w:lang w:val="en-US" w:eastAsia="zh-CN"/>
        </w:rPr>
        <w:t>232</w:t>
      </w:r>
      <w:r>
        <w:rPr>
          <w:rFonts w:hint="eastAsia" w:asciiTheme="minorEastAsia" w:hAnsiTheme="minorEastAsia" w:eastAsiaTheme="minorEastAsia" w:cstheme="minorEastAsia"/>
          <w:sz w:val="28"/>
          <w:szCs w:val="28"/>
          <w:lang w:val="en-US" w:eastAsia="zh-CN"/>
        </w:rPr>
        <w:t>次，国内接待人员</w:t>
      </w:r>
      <w:r>
        <w:rPr>
          <w:rFonts w:hint="eastAsia" w:asciiTheme="minorEastAsia" w:hAnsiTheme="minorEastAsia" w:cstheme="minorEastAsia"/>
          <w:sz w:val="28"/>
          <w:szCs w:val="28"/>
          <w:lang w:val="en-US" w:eastAsia="zh-CN"/>
        </w:rPr>
        <w:t>2313</w:t>
      </w:r>
      <w:r>
        <w:rPr>
          <w:rFonts w:hint="eastAsia" w:asciiTheme="minorEastAsia" w:hAnsiTheme="minorEastAsia" w:eastAsiaTheme="minorEastAsia" w:cstheme="minorEastAsia"/>
          <w:sz w:val="28"/>
          <w:szCs w:val="28"/>
          <w:lang w:val="en-US" w:eastAsia="zh-CN"/>
        </w:rPr>
        <w:t>人，按照上级“三公"经费的相关文件要求，本年度比上年度缩减</w:t>
      </w:r>
      <w:r>
        <w:rPr>
          <w:rFonts w:hint="eastAsia" w:asciiTheme="minorEastAsia" w:hAnsiTheme="minorEastAsia" w:cstheme="minorEastAsia"/>
          <w:sz w:val="28"/>
          <w:szCs w:val="28"/>
          <w:lang w:val="en-US" w:eastAsia="zh-CN"/>
        </w:rPr>
        <w:t>3</w:t>
      </w:r>
      <w:r>
        <w:rPr>
          <w:rFonts w:hint="eastAsia" w:asciiTheme="minorEastAsia" w:hAnsiTheme="minorEastAsia" w:eastAsiaTheme="minorEastAsia" w:cstheme="minorEastAsia"/>
          <w:sz w:val="28"/>
          <w:szCs w:val="28"/>
          <w:lang w:val="en-US" w:eastAsia="zh-CN"/>
        </w:rPr>
        <w:t>%。</w:t>
      </w:r>
      <w:bookmarkStart w:id="0" w:name="_GoBack"/>
      <w:bookmarkEnd w:id="0"/>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kern w:val="2"/>
          <w:sz w:val="28"/>
          <w:szCs w:val="28"/>
          <w:lang w:val="en-US" w:eastAsia="zh-CN" w:bidi="ar"/>
        </w:rPr>
        <w:t>5．</w:t>
      </w:r>
      <w:r>
        <w:rPr>
          <w:rFonts w:hint="eastAsia" w:asciiTheme="minorEastAsia" w:hAnsiTheme="minorEastAsia" w:cstheme="minorEastAsia"/>
          <w:kern w:val="2"/>
          <w:sz w:val="28"/>
          <w:szCs w:val="28"/>
          <w:lang w:val="en-US" w:eastAsia="zh-CN" w:bidi="ar"/>
        </w:rPr>
        <w:t>本年度本单位无</w:t>
      </w:r>
      <w:r>
        <w:rPr>
          <w:rFonts w:hint="eastAsia" w:asciiTheme="minorEastAsia" w:hAnsiTheme="minorEastAsia" w:eastAsiaTheme="minorEastAsia" w:cstheme="minorEastAsia"/>
          <w:kern w:val="2"/>
          <w:sz w:val="28"/>
          <w:szCs w:val="28"/>
          <w:lang w:val="en-US" w:eastAsia="zh-CN" w:bidi="ar"/>
        </w:rPr>
        <w:t>行政单位、参照公务员法管理的事业单位机关运行经费支出情况，以及与上年数对比变动原因说明。</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kern w:val="2"/>
          <w:sz w:val="28"/>
          <w:szCs w:val="28"/>
          <w:lang w:val="en-US" w:eastAsia="zh-CN" w:bidi="ar"/>
        </w:rPr>
        <w:t>6．</w:t>
      </w:r>
      <w:r>
        <w:rPr>
          <w:rFonts w:hint="eastAsia" w:asciiTheme="minorEastAsia" w:hAnsiTheme="minorEastAsia" w:cstheme="minorEastAsia"/>
          <w:kern w:val="2"/>
          <w:sz w:val="28"/>
          <w:szCs w:val="28"/>
          <w:lang w:val="en-US" w:eastAsia="zh-CN" w:bidi="ar"/>
        </w:rPr>
        <w:t>本年度本单位无</w:t>
      </w:r>
      <w:r>
        <w:rPr>
          <w:rFonts w:hint="eastAsia" w:asciiTheme="minorEastAsia" w:hAnsiTheme="minorEastAsia" w:eastAsiaTheme="minorEastAsia" w:cstheme="minorEastAsia"/>
          <w:kern w:val="2"/>
          <w:sz w:val="28"/>
          <w:szCs w:val="28"/>
          <w:lang w:val="en-US" w:eastAsia="zh-CN" w:bidi="ar"/>
        </w:rPr>
        <w:t>政府采购支出情况，包括采购类型、采购规模和授予中小企业合同金额等。</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kern w:val="2"/>
          <w:sz w:val="28"/>
          <w:szCs w:val="28"/>
          <w:lang w:val="en-US" w:eastAsia="zh-CN" w:bidi="ar"/>
        </w:rPr>
        <w:t>7．</w:t>
      </w:r>
      <w:r>
        <w:rPr>
          <w:rFonts w:hint="eastAsia" w:asciiTheme="minorEastAsia" w:hAnsiTheme="minorEastAsia" w:cstheme="minorEastAsia"/>
          <w:kern w:val="2"/>
          <w:sz w:val="28"/>
          <w:szCs w:val="28"/>
          <w:lang w:val="en-US" w:eastAsia="zh-CN" w:bidi="ar"/>
        </w:rPr>
        <w:t>本年度本单位无</w:t>
      </w:r>
      <w:r>
        <w:rPr>
          <w:rFonts w:hint="eastAsia" w:asciiTheme="minorEastAsia" w:hAnsiTheme="minorEastAsia" w:eastAsiaTheme="minorEastAsia" w:cstheme="minorEastAsia"/>
          <w:kern w:val="2"/>
          <w:sz w:val="28"/>
          <w:szCs w:val="28"/>
          <w:lang w:val="en-US" w:eastAsia="zh-CN" w:bidi="ar"/>
        </w:rPr>
        <w:t>“收入支出决算总表”中如调整预算数大于年初预算数，说明单位财政拨款预算和非财政拨款预算调整情况以及经审批或备案的文件依据。</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Theme="minorEastAsia" w:hAnsiTheme="minorEastAsia" w:eastAsiaTheme="minorEastAsia" w:cstheme="minorEastAsia"/>
          <w:color w:val="auto"/>
          <w:kern w:val="2"/>
          <w:sz w:val="28"/>
          <w:szCs w:val="28"/>
          <w:lang w:val="en-US" w:eastAsia="zh-CN" w:bidi="ar"/>
        </w:rPr>
      </w:pPr>
      <w:r>
        <w:rPr>
          <w:rFonts w:hint="eastAsia" w:asciiTheme="minorEastAsia" w:hAnsiTheme="minorEastAsia" w:eastAsiaTheme="minorEastAsia" w:cstheme="minorEastAsia"/>
          <w:color w:val="auto"/>
          <w:kern w:val="2"/>
          <w:sz w:val="28"/>
          <w:szCs w:val="28"/>
          <w:lang w:val="en-US" w:eastAsia="zh-CN" w:bidi="ar"/>
        </w:rPr>
        <w:t>8．</w:t>
      </w:r>
      <w:r>
        <w:rPr>
          <w:rFonts w:hint="eastAsia" w:asciiTheme="minorEastAsia" w:hAnsiTheme="minorEastAsia" w:cstheme="minorEastAsia"/>
          <w:color w:val="auto"/>
          <w:kern w:val="2"/>
          <w:sz w:val="28"/>
          <w:szCs w:val="28"/>
          <w:lang w:val="en-US" w:eastAsia="zh-CN" w:bidi="ar"/>
        </w:rPr>
        <w:t>本年度本单位无</w:t>
      </w:r>
      <w:r>
        <w:rPr>
          <w:rFonts w:hint="eastAsia" w:asciiTheme="minorEastAsia" w:hAnsiTheme="minorEastAsia" w:eastAsiaTheme="minorEastAsia" w:cstheme="minorEastAsia"/>
          <w:color w:val="auto"/>
          <w:kern w:val="2"/>
          <w:sz w:val="28"/>
          <w:szCs w:val="28"/>
          <w:lang w:val="en-US" w:eastAsia="zh-CN" w:bidi="ar"/>
        </w:rPr>
        <w:t>其他需要说明的问题。</w:t>
      </w:r>
    </w:p>
    <w:p>
      <w:pPr>
        <w:spacing w:beforeLines="0" w:afterLines="0"/>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w:t>
      </w:r>
      <w:r>
        <w:rPr>
          <w:rFonts w:hint="eastAsia" w:asciiTheme="minorEastAsia" w:hAnsiTheme="minorEastAsia" w:cstheme="minorEastAsia"/>
          <w:sz w:val="28"/>
          <w:szCs w:val="28"/>
          <w:lang w:val="en-US" w:eastAsia="zh-CN"/>
        </w:rPr>
        <w:t>2</w:t>
      </w:r>
      <w:r>
        <w:rPr>
          <w:rFonts w:hint="eastAsia" w:asciiTheme="minorEastAsia" w:hAnsiTheme="minorEastAsia" w:eastAsiaTheme="minorEastAsia" w:cstheme="minorEastAsia"/>
          <w:sz w:val="28"/>
          <w:szCs w:val="28"/>
          <w:lang w:val="en-US" w:eastAsia="zh-CN"/>
        </w:rPr>
        <w:t>年东郊乡在市财政局的业务指导下，在乡党委政府的正确领导和大力支持下，科学合理编制了年度预算，在确保机关正常运转的情况下，保证了年度收支平衡。今后我们将更加严格地落实中央“八项规定”和厉行节约、福利限额、政府采购各项规定、压缩会议、接待等一般性支出，坚持以“保工资、保运转、保稳定、保重点”为目标，坚持依法理财，依法治税，大力组织财政收入，切实加强财政管理，科学合理调度资金，不断优化支出结构，确保全乡经济建设和社会各项事业的正常发展。</w:t>
      </w:r>
    </w:p>
    <w:p>
      <w:pPr>
        <w:spacing w:beforeLines="0" w:afterLines="0"/>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ZjY5NzZkNzA3NWNlMTZmOTEzYmUxZDllZmQxMzMifQ=="/>
  </w:docVars>
  <w:rsids>
    <w:rsidRoot w:val="00000000"/>
    <w:rsid w:val="01580368"/>
    <w:rsid w:val="01941FB8"/>
    <w:rsid w:val="0328539C"/>
    <w:rsid w:val="04954479"/>
    <w:rsid w:val="04B274E1"/>
    <w:rsid w:val="06820E0E"/>
    <w:rsid w:val="07936EF0"/>
    <w:rsid w:val="08DC2D7E"/>
    <w:rsid w:val="0A50140A"/>
    <w:rsid w:val="0BCA2F2A"/>
    <w:rsid w:val="0BEF5FCF"/>
    <w:rsid w:val="0C1058E5"/>
    <w:rsid w:val="106043E1"/>
    <w:rsid w:val="15604DE0"/>
    <w:rsid w:val="16655644"/>
    <w:rsid w:val="19BD7615"/>
    <w:rsid w:val="1FF13C5E"/>
    <w:rsid w:val="2318004D"/>
    <w:rsid w:val="2750737B"/>
    <w:rsid w:val="279A24DF"/>
    <w:rsid w:val="2A4A38A9"/>
    <w:rsid w:val="2E5A1FFE"/>
    <w:rsid w:val="313F2D68"/>
    <w:rsid w:val="379A1A44"/>
    <w:rsid w:val="38C16D33"/>
    <w:rsid w:val="397E5BCC"/>
    <w:rsid w:val="3BFA5673"/>
    <w:rsid w:val="3F06372F"/>
    <w:rsid w:val="4429596C"/>
    <w:rsid w:val="450866F3"/>
    <w:rsid w:val="48CC4F27"/>
    <w:rsid w:val="4BDD6C44"/>
    <w:rsid w:val="501D2551"/>
    <w:rsid w:val="53C7422C"/>
    <w:rsid w:val="543E6F2B"/>
    <w:rsid w:val="568832FC"/>
    <w:rsid w:val="5E20206C"/>
    <w:rsid w:val="622207DC"/>
    <w:rsid w:val="681F31D3"/>
    <w:rsid w:val="6AE746D8"/>
    <w:rsid w:val="6B272A1E"/>
    <w:rsid w:val="6C8F76EB"/>
    <w:rsid w:val="6F213269"/>
    <w:rsid w:val="75D77F50"/>
    <w:rsid w:val="7D2805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rPr>
  </w:style>
  <w:style w:type="paragraph" w:styleId="3">
    <w:name w:val="header"/>
    <w:basedOn w:val="1"/>
    <w:link w:val="9"/>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FollowedHyperlink"/>
    <w:basedOn w:val="5"/>
    <w:qFormat/>
    <w:uiPriority w:val="0"/>
    <w:rPr>
      <w:color w:val="800080"/>
      <w:u w:val="single"/>
    </w:rPr>
  </w:style>
  <w:style w:type="character" w:styleId="7">
    <w:name w:val="Hyperlink"/>
    <w:basedOn w:val="5"/>
    <w:qFormat/>
    <w:uiPriority w:val="0"/>
    <w:rPr>
      <w:color w:val="0000FF"/>
      <w:u w:val="single"/>
    </w:rPr>
  </w:style>
  <w:style w:type="character" w:customStyle="1" w:styleId="8">
    <w:name w:val="页脚 Char"/>
    <w:basedOn w:val="5"/>
    <w:link w:val="2"/>
    <w:qFormat/>
    <w:uiPriority w:val="0"/>
    <w:rPr>
      <w:sz w:val="18"/>
      <w:szCs w:val="18"/>
    </w:rPr>
  </w:style>
  <w:style w:type="character" w:customStyle="1" w:styleId="9">
    <w:name w:val="页眉 Char"/>
    <w:basedOn w:val="5"/>
    <w:link w:val="3"/>
    <w:uiPriority w:val="0"/>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1470</Words>
  <Characters>1584</Characters>
  <Lines>778</Lines>
  <Paragraphs>219</Paragraphs>
  <TotalTime>18</TotalTime>
  <ScaleCrop>false</ScaleCrop>
  <LinksUpToDate>false</LinksUpToDate>
  <CharactersWithSpaces>1604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2021-12-27T23:46:00Z</dcterms:created>
  <dc:creator>刘辉</dc:creator>
  <cp:lastModifiedBy>Administrator</cp:lastModifiedBy>
  <dcterms:modified xsi:type="dcterms:W3CDTF">2023-02-22T01:34:13Z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A02EEAF109AE4D968303ADB0850CCCD4</vt:lpwstr>
  </property>
</Properties>
</file>