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700" w:lineRule="exact"/>
        <w:jc w:val="both"/>
        <w:textAlignment w:val="auto"/>
        <w:outlineLvl w:val="9"/>
        <w:rPr>
          <w:rFonts w:hint="eastAsia" w:ascii="黑体" w:hAnsi="黑体" w:eastAsia="黑体" w:cs="黑体"/>
          <w:bCs/>
          <w:color w:val="000000" w:themeColor="text1"/>
          <w:sz w:val="32"/>
          <w:szCs w:val="32"/>
          <w:lang w:val="en-US" w:eastAsia="zh-CN"/>
          <w14:textFill>
            <w14:solidFill>
              <w14:schemeClr w14:val="tx1"/>
            </w14:solidFill>
          </w14:textFill>
        </w:rPr>
      </w:pPr>
      <w:r>
        <w:rPr>
          <w:rFonts w:hint="eastAsia" w:ascii="黑体" w:hAnsi="黑体" w:eastAsia="黑体" w:cs="黑体"/>
          <w:bCs/>
          <w:color w:val="000000" w:themeColor="text1"/>
          <w:sz w:val="32"/>
          <w:szCs w:val="32"/>
          <w:lang w:val="en-US" w:eastAsia="zh-CN"/>
          <w14:textFill>
            <w14:solidFill>
              <w14:schemeClr w14:val="tx1"/>
            </w14:solidFill>
          </w14:textFill>
        </w:rPr>
        <w:t>XXDR-2020-16001</w:t>
      </w:r>
    </w:p>
    <w:p>
      <w:pPr>
        <w:pStyle w:val="2"/>
        <w:rPr>
          <w:rFonts w:hint="eastAsia"/>
          <w:color w:val="000000" w:themeColor="text1"/>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湘乡市文化旅游广电体育局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关于印发《湘乡市体育系统安全生产专项整治三年行动实施方案</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的通知</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宋体" w:eastAsia="方正小标宋简体"/>
          <w:bCs/>
          <w:color w:val="000000" w:themeColor="text1"/>
          <w:sz w:val="44"/>
          <w:szCs w:val="44"/>
          <w:lang w:eastAsia="zh-CN"/>
          <w14:textFill>
            <w14:solidFill>
              <w14:schemeClr w14:val="tx1"/>
            </w14:solidFill>
          </w14:textFill>
        </w:rPr>
      </w:pPr>
      <w:bookmarkStart w:id="0" w:name="_GoBack"/>
      <w:bookmarkEnd w:id="0"/>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湘文旅</w:t>
      </w:r>
      <w:r>
        <w:rPr>
          <w:rFonts w:hint="eastAsia" w:ascii="仿宋" w:hAnsi="仿宋" w:eastAsia="仿宋" w:cs="仿宋"/>
          <w:color w:val="000000" w:themeColor="text1"/>
          <w:sz w:val="32"/>
          <w:szCs w:val="32"/>
          <w:lang w:eastAsia="zh-CN"/>
          <w14:textFill>
            <w14:solidFill>
              <w14:schemeClr w14:val="tx1"/>
            </w14:solidFill>
          </w14:textFill>
        </w:rPr>
        <w:t>广</w:t>
      </w:r>
      <w:r>
        <w:rPr>
          <w:rFonts w:hint="eastAsia" w:ascii="仿宋" w:hAnsi="仿宋" w:eastAsia="仿宋" w:cs="仿宋"/>
          <w:color w:val="000000" w:themeColor="text1"/>
          <w:sz w:val="32"/>
          <w:szCs w:val="32"/>
          <w14:textFill>
            <w14:solidFill>
              <w14:schemeClr w14:val="tx1"/>
            </w14:solidFill>
          </w14:textFill>
        </w:rPr>
        <w:t>体〔20</w:t>
      </w:r>
      <w:r>
        <w:rPr>
          <w:rFonts w:hint="eastAsia" w:ascii="仿宋" w:hAnsi="仿宋" w:eastAsia="仿宋" w:cs="仿宋"/>
          <w:color w:val="000000" w:themeColor="text1"/>
          <w:sz w:val="32"/>
          <w:szCs w:val="32"/>
          <w:lang w:val="en-US" w:eastAsia="zh-CN"/>
          <w14:textFill>
            <w14:solidFill>
              <w14:schemeClr w14:val="tx1"/>
            </w14:solidFill>
          </w14:textFill>
        </w:rPr>
        <w:t>20</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29</w:t>
      </w:r>
      <w:r>
        <w:rPr>
          <w:rFonts w:hint="eastAsia" w:ascii="仿宋" w:hAnsi="仿宋" w:eastAsia="仿宋" w:cs="仿宋"/>
          <w:color w:val="000000" w:themeColor="text1"/>
          <w:sz w:val="32"/>
          <w:szCs w:val="32"/>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机关各股室，局属各单位，各乡镇（街道）社会事务服务中心，各行业企业：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现将《湘乡市体育系统安全生产专项整治三年行动实施方案》印发给你们，请结合工作实际，认真贯彻落实。</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湘乡市文化旅游广电体育局</w:t>
      </w: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2020年12月28日</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pStyle w:val="2"/>
        <w:rPr>
          <w:rFonts w:hint="eastAsia" w:ascii="仿宋_GB2312" w:hAnsi="仿宋_GB2312" w:eastAsia="仿宋_GB2312" w:cs="仿宋_GB2312"/>
          <w:color w:val="000000" w:themeColor="text1"/>
          <w:sz w:val="32"/>
          <w:szCs w:val="32"/>
          <w14:textFill>
            <w14:solidFill>
              <w14:schemeClr w14:val="tx1"/>
            </w14:solidFill>
          </w14:textFill>
        </w:rPr>
      </w:pPr>
    </w:p>
    <w:p>
      <w:pPr>
        <w:pStyle w:val="2"/>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pStyle w:val="2"/>
        <w:rPr>
          <w:rFonts w:hint="eastAsia" w:ascii="仿宋_GB2312" w:hAnsi="仿宋_GB2312" w:eastAsia="仿宋_GB2312" w:cs="仿宋_GB2312"/>
          <w:color w:val="000000" w:themeColor="text1"/>
          <w:sz w:val="32"/>
          <w:szCs w:val="32"/>
          <w14:textFill>
            <w14:solidFill>
              <w14:schemeClr w14:val="tx1"/>
            </w14:solidFill>
          </w14:textFill>
        </w:rPr>
      </w:pPr>
    </w:p>
    <w:p>
      <w:pPr>
        <w:pStyle w:val="2"/>
        <w:rPr>
          <w:rFonts w:hint="eastAsia" w:ascii="仿宋_GB2312" w:hAnsi="仿宋_GB2312" w:eastAsia="仿宋_GB2312" w:cs="仿宋_GB2312"/>
          <w:color w:val="000000" w:themeColor="text1"/>
          <w:sz w:val="32"/>
          <w:szCs w:val="32"/>
          <w14:textFill>
            <w14:solidFill>
              <w14:schemeClr w14:val="tx1"/>
            </w14:solidFill>
          </w14:textFill>
        </w:rPr>
      </w:pPr>
    </w:p>
    <w:p>
      <w:pPr>
        <w:pStyle w:val="2"/>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湘乡市体育系统安全生产专项整治三年</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行动实施方案</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为深入贯彻落实习近平总书记关于安全生产重要论述精神，根据</w:t>
      </w:r>
      <w:r>
        <w:rPr>
          <w:rFonts w:hint="eastAsia" w:ascii="仿宋" w:hAnsi="仿宋" w:eastAsia="仿宋" w:cs="仿宋"/>
          <w:color w:val="000000" w:themeColor="text1"/>
          <w:sz w:val="32"/>
          <w:szCs w:val="32"/>
          <w:lang w:eastAsia="zh-CN"/>
          <w14:textFill>
            <w14:solidFill>
              <w14:schemeClr w14:val="tx1"/>
            </w14:solidFill>
          </w14:textFill>
        </w:rPr>
        <w:t>《湘潭市文化旅游广电体育局关于印发</w:t>
      </w:r>
      <w:r>
        <w:rPr>
          <w:rFonts w:hint="eastAsia" w:ascii="仿宋" w:hAnsi="仿宋" w:eastAsia="仿宋" w:cs="仿宋"/>
          <w:color w:val="000000" w:themeColor="text1"/>
          <w:sz w:val="32"/>
          <w:szCs w:val="32"/>
          <w:lang w:val="en-US" w:eastAsia="zh-CN"/>
          <w14:textFill>
            <w14:solidFill>
              <w14:schemeClr w14:val="tx1"/>
            </w14:solidFill>
          </w14:textFill>
        </w:rPr>
        <w:t>&lt;湘潭市体育系统安全生产专项整治三年行动实施方案&gt;的通知》</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潭文旅广体通</w:t>
      </w:r>
      <w:r>
        <w:rPr>
          <w:rFonts w:hint="eastAsia" w:ascii="仿宋" w:hAnsi="仿宋" w:eastAsia="仿宋" w:cs="仿宋"/>
          <w:color w:val="000000" w:themeColor="text1"/>
          <w:sz w:val="32"/>
          <w:szCs w:val="32"/>
          <w14:textFill>
            <w14:solidFill>
              <w14:schemeClr w14:val="tx1"/>
            </w14:solidFill>
          </w14:textFill>
        </w:rPr>
        <w:t>〔20</w:t>
      </w:r>
      <w:r>
        <w:rPr>
          <w:rFonts w:hint="eastAsia" w:ascii="仿宋" w:hAnsi="仿宋" w:eastAsia="仿宋" w:cs="仿宋"/>
          <w:color w:val="000000" w:themeColor="text1"/>
          <w:sz w:val="32"/>
          <w:szCs w:val="32"/>
          <w:lang w:val="en-US" w:eastAsia="zh-CN"/>
          <w14:textFill>
            <w14:solidFill>
              <w14:schemeClr w14:val="tx1"/>
            </w14:solidFill>
          </w14:textFill>
        </w:rPr>
        <w:t>20</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129</w:t>
      </w:r>
      <w:r>
        <w:rPr>
          <w:rFonts w:hint="eastAsia" w:ascii="仿宋" w:hAnsi="仿宋" w:eastAsia="仿宋" w:cs="仿宋"/>
          <w:color w:val="000000" w:themeColor="text1"/>
          <w:sz w:val="32"/>
          <w:szCs w:val="32"/>
          <w14:textFill>
            <w14:solidFill>
              <w14:schemeClr w14:val="tx1"/>
            </w14:solidFill>
          </w14:textFill>
        </w:rPr>
        <w:t>号）</w:t>
      </w:r>
      <w:r>
        <w:rPr>
          <w:rFonts w:hint="eastAsia" w:ascii="仿宋_GB2312" w:hAnsi="仿宋_GB2312" w:eastAsia="仿宋_GB2312" w:cs="仿宋_GB2312"/>
          <w:color w:val="000000" w:themeColor="text1"/>
          <w:sz w:val="32"/>
          <w:szCs w:val="32"/>
          <w14:textFill>
            <w14:solidFill>
              <w14:schemeClr w14:val="tx1"/>
            </w14:solidFill>
          </w14:textFill>
        </w:rPr>
        <w:t>精神，结合我市体育系统工作实际，制定如下实施方案。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一、总体要求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以习近平新时代中国特色社会主义思想为指导，深入贯彻习近平总书记关于安全生产重要论述，树牢安全发展理念，强化底线思维和红线意识，坚持问题导向、目标导向和结果导向，深化源头治理、系统治理、综合治理，通过三年行动，完善和落实重在“从根本上消除事故隐患”的责任链条、制度成果、管理办法、重点工程和工作机制，扎实推进体育系统安全生产治理体系和治理能力现代化，专项整治取得积极成效，为我市体育事业高质量发展提供有力的安全生产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二、组织领导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市文化旅游广电体育局成立体育系统安全生产专项整治三</w:t>
      </w:r>
      <w:r>
        <w:rPr>
          <w:rFonts w:hint="eastAsia" w:ascii="仿宋_GB2312" w:hAnsi="仿宋_GB2312" w:eastAsia="仿宋_GB2312" w:cs="仿宋_GB2312"/>
          <w:color w:val="000000" w:themeColor="text1"/>
          <w:sz w:val="32"/>
          <w:szCs w:val="32"/>
          <w14:textFill>
            <w14:solidFill>
              <w14:schemeClr w14:val="tx1"/>
            </w14:solidFill>
          </w14:textFill>
        </w:rPr>
        <w:softHyphen/>
      </w:r>
      <w:r>
        <w:rPr>
          <w:rFonts w:hint="eastAsia" w:ascii="仿宋_GB2312" w:hAnsi="仿宋_GB2312" w:eastAsia="仿宋_GB2312" w:cs="仿宋_GB2312"/>
          <w:color w:val="000000" w:themeColor="text1"/>
          <w:sz w:val="32"/>
          <w:szCs w:val="32"/>
          <w14:textFill>
            <w14:solidFill>
              <w14:schemeClr w14:val="tx1"/>
            </w14:solidFill>
          </w14:textFill>
        </w:rPr>
        <w:t>年行动领导小组，由局党委书记、局长周向集任组长，局党委委员、副局长刘湘平、曾石天、谭志冬任副组长，领导小组下设办公室，由局办公室、体育股、市场管理股、法规股（审批服务股）、文化市场综合行政执法大队负责人组成，局</w:t>
      </w:r>
      <w:r>
        <w:rPr>
          <w:rFonts w:hint="eastAsia" w:ascii="仿宋_GB2312" w:hAnsi="仿宋_GB2312" w:eastAsia="仿宋_GB2312" w:cs="仿宋_GB2312"/>
          <w:color w:val="000000" w:themeColor="text1"/>
          <w:sz w:val="32"/>
          <w:szCs w:val="32"/>
          <w:lang w:eastAsia="zh-CN"/>
          <w14:textFill>
            <w14:solidFill>
              <w14:schemeClr w14:val="tx1"/>
            </w14:solidFill>
          </w14:textFill>
        </w:rPr>
        <w:t>体育股</w:t>
      </w:r>
      <w:r>
        <w:rPr>
          <w:rFonts w:hint="eastAsia" w:ascii="仿宋_GB2312" w:hAnsi="仿宋_GB2312" w:eastAsia="仿宋_GB2312" w:cs="仿宋_GB2312"/>
          <w:color w:val="000000" w:themeColor="text1"/>
          <w:sz w:val="32"/>
          <w:szCs w:val="32"/>
          <w14:textFill>
            <w14:solidFill>
              <w14:schemeClr w14:val="tx1"/>
            </w14:solidFill>
          </w14:textFill>
        </w:rPr>
        <w:t>负责人兼任办公室主任，具体负责推进专项整治工作。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三、主要任务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（一）落实安全生产责任体系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按照“管行业必须管安全、管业务必须管安全、管生产经营必须管安全”和</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谁主管、谁负责</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的原则，强化主要负责人安全生产领导责任，落实党政同责、一岗双责、齐抓共管、失职追责的安全生产责任制，定期研究解决安全生产重大问题，落实安全生产与业务工作同部署、同落实、同检查、同考核的要求。建立健全体育领域安全生产规章制度，实现安全生产工作的规范化、制度化。</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（二）深化安全生产风险隐患预防管控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一是强化安全隐患排查治理。</w:t>
      </w:r>
      <w:r>
        <w:rPr>
          <w:rFonts w:hint="eastAsia" w:ascii="仿宋_GB2312" w:hAnsi="仿宋_GB2312" w:eastAsia="仿宋_GB2312" w:cs="仿宋_GB2312"/>
          <w:color w:val="000000" w:themeColor="text1"/>
          <w:sz w:val="32"/>
          <w:szCs w:val="32"/>
          <w14:textFill>
            <w14:solidFill>
              <w14:schemeClr w14:val="tx1"/>
            </w14:solidFill>
          </w14:textFill>
        </w:rPr>
        <w:t>2020年组织开展重大隐患大排查大整治行动，突出重大赛事和活动安全、消防安全、在建工程安全、运动枪支弹药和危险化学品安全等重点领域，全面开展风险排查，加强安全隐患排查，重大事故隐患严格按照“一单五制“管理，确保重大风险排查治理到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二是建立安全风险评估机制</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2021年底前，确保底数摸排到位，责任分工到位，防控措施落实到位，形成重大风险隐患防范化解长效机制。</w:t>
      </w:r>
      <w:r>
        <w:rPr>
          <w:rFonts w:hint="eastAsia" w:ascii="仿宋_GB2312" w:hAnsi="仿宋_GB2312" w:eastAsia="仿宋_GB2312" w:cs="仿宋_GB2312"/>
          <w:color w:val="000000" w:themeColor="text1"/>
          <w:sz w:val="32"/>
          <w:szCs w:val="32"/>
          <w14:textFill>
            <w14:solidFill>
              <w14:schemeClr w14:val="tx1"/>
            </w14:solidFill>
          </w14:textFill>
        </w:rPr>
        <w:tab/>
      </w:r>
      <w:r>
        <w:rPr>
          <w:rFonts w:hint="eastAsia" w:ascii="仿宋_GB2312" w:hAnsi="仿宋_GB2312" w:eastAsia="仿宋_GB2312" w:cs="仿宋_GB2312"/>
          <w:color w:val="000000" w:themeColor="text1"/>
          <w:sz w:val="32"/>
          <w:szCs w:val="32"/>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三是建立安全生产学习教育机制。</w:t>
      </w:r>
      <w:r>
        <w:rPr>
          <w:rFonts w:hint="eastAsia" w:ascii="仿宋_GB2312" w:hAnsi="仿宋_GB2312" w:eastAsia="仿宋_GB2312" w:cs="仿宋_GB2312"/>
          <w:color w:val="000000" w:themeColor="text1"/>
          <w:sz w:val="32"/>
          <w:szCs w:val="32"/>
          <w14:textFill>
            <w14:solidFill>
              <w14:schemeClr w14:val="tx1"/>
            </w14:solidFill>
          </w14:textFill>
        </w:rPr>
        <w:t>深入系统宣传贯彻习近平总书记关于安全生产重要论述，结合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安全生产月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119</w:t>
      </w:r>
      <w:r>
        <w:rPr>
          <w:rFonts w:hint="eastAsia" w:ascii="仿宋_GB2312" w:hAnsi="仿宋_GB2312" w:eastAsia="仿宋_GB2312" w:cs="仿宋_GB2312"/>
          <w:color w:val="000000" w:themeColor="text1"/>
          <w:sz w:val="32"/>
          <w:szCs w:val="32"/>
          <w14:textFill>
            <w14:solidFill>
              <w14:schemeClr w14:val="tx1"/>
            </w14:solidFill>
          </w14:textFill>
        </w:rPr>
        <w:t>消防宣传月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防灾减灾日</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和安全宣传教育</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五进</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等活动，强化从业人员安全生产意识教育和技能培训</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全面提升体育系统干部职工的安全意识，增强安全生产工作能力。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（三）加强重点领域安全生产管理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一是加强对所属公共体育场馆、社会体育俱乐部安全生产和消防安全管理。</w:t>
      </w:r>
      <w:r>
        <w:rPr>
          <w:rFonts w:hint="eastAsia" w:ascii="仿宋_GB2312" w:hAnsi="仿宋_GB2312" w:eastAsia="仿宋_GB2312" w:cs="仿宋_GB2312"/>
          <w:color w:val="000000" w:themeColor="text1"/>
          <w:sz w:val="32"/>
          <w:szCs w:val="32"/>
          <w14:textFill>
            <w14:solidFill>
              <w14:schemeClr w14:val="tx1"/>
            </w14:solidFill>
          </w14:textFill>
        </w:rPr>
        <w:t>切实履行对所属公共体育场馆和社会体育俱乐部的安全监管职责，加强风险管控、隐患排查治理和安全投入</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形成常态化管理机制，切实提升所属公共体育场馆和社会体育俱乐部安全水平，保障人民群众生命财产安全。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二是加强对经营性高危险性体育项目的监督管理。</w:t>
      </w:r>
      <w:r>
        <w:rPr>
          <w:rFonts w:hint="eastAsia" w:ascii="仿宋_GB2312" w:hAnsi="仿宋_GB2312" w:eastAsia="仿宋_GB2312" w:cs="仿宋_GB2312"/>
          <w:color w:val="000000" w:themeColor="text1"/>
          <w:sz w:val="32"/>
          <w:szCs w:val="32"/>
          <w14:textFill>
            <w14:solidFill>
              <w14:schemeClr w14:val="tx1"/>
            </w14:solidFill>
          </w14:textFill>
        </w:rPr>
        <w:t>2021 年针对高危险性体育项目经营许可等组织开展专项整治，严厉打击无证、证照不全、虚假宣传、擅自经营等扰乱市场环境的违法违规行为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2022年底前，细化游泳</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滑雪、潜水、攀岩等高危险性体育项目安全防护设备</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从业人员资质、安全管理制度等方面的标准和规范，及时更新隐患清单和危险源清单，加强对运营单位的监督管理，定期组织开展安全隐患排查治理。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三是强化体育赛事和活动安全管理。</w:t>
      </w:r>
      <w:r>
        <w:rPr>
          <w:rFonts w:hint="eastAsia" w:ascii="仿宋_GB2312" w:hAnsi="仿宋_GB2312" w:eastAsia="仿宋_GB2312" w:cs="仿宋_GB2312"/>
          <w:color w:val="000000" w:themeColor="text1"/>
          <w:sz w:val="32"/>
          <w:szCs w:val="32"/>
          <w14:textFill>
            <w14:solidFill>
              <w14:schemeClr w14:val="tx1"/>
            </w14:solidFill>
          </w14:textFill>
        </w:rPr>
        <w:t>2021年底前，按照“谁审批、谁负</w:t>
      </w:r>
      <w:r>
        <w:rPr>
          <w:rFonts w:hint="eastAsia" w:ascii="仿宋_GB2312" w:hAnsi="仿宋_GB2312" w:eastAsia="仿宋_GB2312" w:cs="仿宋_GB2312"/>
          <w:color w:val="000000" w:themeColor="text1"/>
          <w:sz w:val="32"/>
          <w:szCs w:val="32"/>
          <w:lang w:eastAsia="zh-CN"/>
          <w14:textFill>
            <w14:solidFill>
              <w14:schemeClr w14:val="tx1"/>
            </w14:solidFill>
          </w14:textFill>
        </w:rPr>
        <w:t>责</w:t>
      </w:r>
      <w:r>
        <w:rPr>
          <w:rFonts w:hint="eastAsia" w:ascii="仿宋_GB2312" w:hAnsi="仿宋_GB2312" w:eastAsia="仿宋_GB2312" w:cs="仿宋_GB2312"/>
          <w:color w:val="000000" w:themeColor="text1"/>
          <w:sz w:val="32"/>
          <w:szCs w:val="32"/>
          <w14:textFill>
            <w14:solidFill>
              <w14:schemeClr w14:val="tx1"/>
            </w14:solidFill>
          </w14:textFill>
        </w:rPr>
        <w:t>，谁举办、谁负责”和分级分类管理的原则，建立体育赛事和活动安全风险评估机制，指导相关单位根据赛事项目</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设施设备、赛事环境、人员行为和管理体系等方面的风险因素，科学制定工作预案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实现“一赛</w:t>
      </w:r>
      <w:r>
        <w:rPr>
          <w:rFonts w:hint="eastAsia" w:ascii="仿宋_GB2312" w:hAnsi="仿宋_GB2312" w:eastAsia="仿宋_GB2312" w:cs="仿宋_GB2312"/>
          <w:color w:val="000000" w:themeColor="text1"/>
          <w:sz w:val="32"/>
          <w:szCs w:val="32"/>
          <w:lang w:eastAsia="zh-CN"/>
          <w14:textFill>
            <w14:solidFill>
              <w14:schemeClr w14:val="tx1"/>
            </w14:solidFill>
          </w14:textFill>
        </w:rPr>
        <w:t>事一清单</w:t>
      </w:r>
      <w:r>
        <w:rPr>
          <w:rFonts w:hint="eastAsia" w:ascii="仿宋_GB2312" w:hAnsi="仿宋_GB2312" w:eastAsia="仿宋_GB2312" w:cs="仿宋_GB2312"/>
          <w:color w:val="000000" w:themeColor="text1"/>
          <w:sz w:val="32"/>
          <w:szCs w:val="32"/>
          <w14:textFill>
            <w14:solidFill>
              <w14:schemeClr w14:val="tx1"/>
            </w14:solidFill>
          </w14:textFill>
        </w:rPr>
        <w:t>”和</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一活动一清单</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全</w:t>
      </w:r>
      <w:r>
        <w:rPr>
          <w:rFonts w:hint="eastAsia" w:ascii="仿宋_GB2312" w:hAnsi="仿宋_GB2312" w:eastAsia="仿宋_GB2312" w:cs="仿宋_GB2312"/>
          <w:color w:val="000000" w:themeColor="text1"/>
          <w:sz w:val="32"/>
          <w:szCs w:val="32"/>
          <w:lang w:eastAsia="zh-CN"/>
          <w14:textFill>
            <w14:solidFill>
              <w14:schemeClr w14:val="tx1"/>
            </w14:solidFill>
          </w14:textFill>
        </w:rPr>
        <w:t>面</w:t>
      </w:r>
      <w:r>
        <w:rPr>
          <w:rFonts w:hint="eastAsia" w:ascii="仿宋_GB2312" w:hAnsi="仿宋_GB2312" w:eastAsia="仿宋_GB2312" w:cs="仿宋_GB2312"/>
          <w:color w:val="000000" w:themeColor="text1"/>
          <w:sz w:val="32"/>
          <w:szCs w:val="32"/>
          <w14:textFill>
            <w14:solidFill>
              <w14:schemeClr w14:val="tx1"/>
            </w14:solidFill>
          </w14:textFill>
        </w:rPr>
        <w:t>提升体育赛事和活动的安全管理水平</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四是强化运动枪支弹药和危险化学品安全管理。</w:t>
      </w:r>
      <w:r>
        <w:rPr>
          <w:rFonts w:hint="eastAsia" w:ascii="仿宋_GB2312" w:hAnsi="仿宋_GB2312" w:eastAsia="仿宋_GB2312" w:cs="仿宋_GB2312"/>
          <w:color w:val="000000" w:themeColor="text1"/>
          <w:sz w:val="32"/>
          <w:szCs w:val="32"/>
          <w14:textFill>
            <w14:solidFill>
              <w14:schemeClr w14:val="tx1"/>
            </w14:solidFill>
          </w14:textFill>
        </w:rPr>
        <w:t>认真梳理体育领域运动枪支弹药和危险化学品使用情况，排查风险漏洞，完善规章制度</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2022年底前建立覆盖申报、购买、配置</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运输、使用、储存</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报废全流程的闭环管理体系，切实提升安全管理水平。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四、实施步骤</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（一）动员部署(</w:t>
      </w:r>
      <w:r>
        <w:rPr>
          <w:rFonts w:hint="eastAsia" w:ascii="楷体" w:hAnsi="楷体" w:eastAsia="楷体" w:cs="楷体"/>
          <w:b/>
          <w:bCs/>
          <w:color w:val="000000" w:themeColor="text1"/>
          <w:sz w:val="32"/>
          <w:szCs w:val="32"/>
          <w:lang w:val="en-US" w:eastAsia="zh-CN"/>
          <w14:textFill>
            <w14:solidFill>
              <w14:schemeClr w14:val="tx1"/>
            </w14:solidFill>
          </w14:textFill>
        </w:rPr>
        <w:t xml:space="preserve"> </w:t>
      </w:r>
      <w:r>
        <w:rPr>
          <w:rFonts w:hint="eastAsia" w:ascii="楷体" w:hAnsi="楷体" w:eastAsia="楷体" w:cs="楷体"/>
          <w:b/>
          <w:bCs/>
          <w:color w:val="000000" w:themeColor="text1"/>
          <w:sz w:val="32"/>
          <w:szCs w:val="32"/>
          <w14:textFill>
            <w14:solidFill>
              <w14:schemeClr w14:val="tx1"/>
            </w14:solidFill>
          </w14:textFill>
        </w:rPr>
        <w:t>2020年11月）</w:t>
      </w:r>
      <w:r>
        <w:rPr>
          <w:rFonts w:hint="eastAsia" w:ascii="楷体" w:hAnsi="楷体" w:eastAsia="楷体" w:cs="楷体"/>
          <w:b/>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全面部署启动体育系统专项整治三年行动。各单位制定相应工作方案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对开展专项整治三年行动作出具体安排。</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eastAsia="zh-CN"/>
          <w14:textFill>
            <w14:solidFill>
              <w14:schemeClr w14:val="tx1"/>
            </w14:solidFill>
          </w14:textFill>
        </w:rPr>
        <w:t>（二）</w:t>
      </w:r>
      <w:r>
        <w:rPr>
          <w:rFonts w:hint="eastAsia" w:ascii="楷体" w:hAnsi="楷体" w:eastAsia="楷体" w:cs="楷体"/>
          <w:b/>
          <w:bCs/>
          <w:color w:val="000000" w:themeColor="text1"/>
          <w:sz w:val="32"/>
          <w:szCs w:val="32"/>
          <w14:textFill>
            <w14:solidFill>
              <w14:schemeClr w14:val="tx1"/>
            </w14:solidFill>
          </w14:textFill>
        </w:rPr>
        <w:t>排查整治(</w:t>
      </w:r>
      <w:r>
        <w:rPr>
          <w:rFonts w:hint="eastAsia" w:ascii="楷体" w:hAnsi="楷体" w:eastAsia="楷体" w:cs="楷体"/>
          <w:b/>
          <w:bCs/>
          <w:color w:val="000000" w:themeColor="text1"/>
          <w:sz w:val="32"/>
          <w:szCs w:val="32"/>
          <w:lang w:val="en-US" w:eastAsia="zh-CN"/>
          <w14:textFill>
            <w14:solidFill>
              <w14:schemeClr w14:val="tx1"/>
            </w14:solidFill>
          </w14:textFill>
        </w:rPr>
        <w:t xml:space="preserve"> </w:t>
      </w:r>
      <w:r>
        <w:rPr>
          <w:rFonts w:hint="eastAsia" w:ascii="楷体" w:hAnsi="楷体" w:eastAsia="楷体" w:cs="楷体"/>
          <w:b/>
          <w:bCs/>
          <w:color w:val="000000" w:themeColor="text1"/>
          <w:sz w:val="32"/>
          <w:szCs w:val="32"/>
          <w14:textFill>
            <w14:solidFill>
              <w14:schemeClr w14:val="tx1"/>
            </w14:solidFill>
          </w14:textFill>
        </w:rPr>
        <w:t>2020年12月至2021年</w:t>
      </w:r>
      <w:r>
        <w:rPr>
          <w:rFonts w:hint="eastAsia" w:ascii="楷体" w:hAnsi="楷体" w:eastAsia="楷体" w:cs="楷体"/>
          <w:b/>
          <w:bCs/>
          <w:color w:val="000000" w:themeColor="text1"/>
          <w:sz w:val="32"/>
          <w:szCs w:val="32"/>
          <w:lang w:val="en-US" w:eastAsia="zh-CN"/>
          <w14:textFill>
            <w14:solidFill>
              <w14:schemeClr w14:val="tx1"/>
            </w14:solidFill>
          </w14:textFill>
        </w:rPr>
        <w:t>4</w:t>
      </w:r>
      <w:r>
        <w:rPr>
          <w:rFonts w:hint="eastAsia" w:ascii="楷体" w:hAnsi="楷体" w:eastAsia="楷体" w:cs="楷体"/>
          <w:b/>
          <w:bCs/>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14:textFill>
            <w14:solidFill>
              <w14:schemeClr w14:val="tx1"/>
            </w14:solidFill>
          </w14:textFill>
        </w:rPr>
        <w:t>对重点场所、关键环节安全风险进行全面深入细致的排查梳理，坚持边查边改、立查立改，推进隐患治理，整治工作取得初步成效。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eastAsia="zh-CN"/>
          <w14:textFill>
            <w14:solidFill>
              <w14:schemeClr w14:val="tx1"/>
            </w14:solidFill>
          </w14:textFill>
        </w:rPr>
        <w:t>（三）</w:t>
      </w:r>
      <w:r>
        <w:rPr>
          <w:rFonts w:hint="eastAsia" w:ascii="楷体" w:hAnsi="楷体" w:eastAsia="楷体" w:cs="楷体"/>
          <w:b/>
          <w:bCs/>
          <w:color w:val="000000" w:themeColor="text1"/>
          <w:sz w:val="32"/>
          <w:szCs w:val="32"/>
          <w14:textFill>
            <w14:solidFill>
              <w14:schemeClr w14:val="tx1"/>
            </w14:solidFill>
          </w14:textFill>
        </w:rPr>
        <w:t>集中攻坚(</w:t>
      </w:r>
      <w:r>
        <w:rPr>
          <w:rFonts w:hint="eastAsia" w:ascii="楷体" w:hAnsi="楷体" w:eastAsia="楷体" w:cs="楷体"/>
          <w:b/>
          <w:bCs/>
          <w:color w:val="000000" w:themeColor="text1"/>
          <w:sz w:val="32"/>
          <w:szCs w:val="32"/>
          <w:lang w:val="en-US" w:eastAsia="zh-CN"/>
          <w14:textFill>
            <w14:solidFill>
              <w14:schemeClr w14:val="tx1"/>
            </w14:solidFill>
          </w14:textFill>
        </w:rPr>
        <w:t xml:space="preserve"> </w:t>
      </w:r>
      <w:r>
        <w:rPr>
          <w:rFonts w:hint="eastAsia" w:ascii="楷体" w:hAnsi="楷体" w:eastAsia="楷体" w:cs="楷体"/>
          <w:b/>
          <w:bCs/>
          <w:color w:val="000000" w:themeColor="text1"/>
          <w:sz w:val="32"/>
          <w:szCs w:val="32"/>
          <w14:textFill>
            <w14:solidFill>
              <w14:schemeClr w14:val="tx1"/>
            </w14:solidFill>
          </w14:textFill>
        </w:rPr>
        <w:t>202</w:t>
      </w:r>
      <w:r>
        <w:rPr>
          <w:rFonts w:hint="eastAsia" w:ascii="楷体" w:hAnsi="楷体" w:eastAsia="楷体" w:cs="楷体"/>
          <w:b/>
          <w:bCs/>
          <w:color w:val="000000" w:themeColor="text1"/>
          <w:sz w:val="32"/>
          <w:szCs w:val="32"/>
          <w:lang w:val="en-US" w:eastAsia="zh-CN"/>
          <w14:textFill>
            <w14:solidFill>
              <w14:schemeClr w14:val="tx1"/>
            </w14:solidFill>
          </w14:textFill>
        </w:rPr>
        <w:t>1</w:t>
      </w:r>
      <w:r>
        <w:rPr>
          <w:rFonts w:hint="eastAsia" w:ascii="楷体" w:hAnsi="楷体" w:eastAsia="楷体" w:cs="楷体"/>
          <w:b/>
          <w:bCs/>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14:textFill>
            <w14:solidFill>
              <w14:schemeClr w14:val="tx1"/>
            </w14:solidFill>
          </w14:textFill>
        </w:rPr>
        <w:t>针对重点难点问题</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加大专项整治攻坚力度，落实和完善治理措施，建立健全安全隐患排查和安全预防控制体系。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eastAsia="zh-CN"/>
          <w14:textFill>
            <w14:solidFill>
              <w14:schemeClr w14:val="tx1"/>
            </w14:solidFill>
          </w14:textFill>
        </w:rPr>
        <w:t>（四）</w:t>
      </w:r>
      <w:r>
        <w:rPr>
          <w:rFonts w:hint="eastAsia" w:ascii="楷体" w:hAnsi="楷体" w:eastAsia="楷体" w:cs="楷体"/>
          <w:b/>
          <w:bCs/>
          <w:color w:val="000000" w:themeColor="text1"/>
          <w:sz w:val="32"/>
          <w:szCs w:val="32"/>
          <w14:textFill>
            <w14:solidFill>
              <w14:schemeClr w14:val="tx1"/>
            </w14:solidFill>
          </w14:textFill>
        </w:rPr>
        <w:t>巩固提升(</w:t>
      </w:r>
      <w:r>
        <w:rPr>
          <w:rFonts w:hint="eastAsia" w:ascii="楷体" w:hAnsi="楷体" w:eastAsia="楷体" w:cs="楷体"/>
          <w:b/>
          <w:bCs/>
          <w:color w:val="000000" w:themeColor="text1"/>
          <w:sz w:val="32"/>
          <w:szCs w:val="32"/>
          <w:lang w:val="en-US" w:eastAsia="zh-CN"/>
          <w14:textFill>
            <w14:solidFill>
              <w14:schemeClr w14:val="tx1"/>
            </w14:solidFill>
          </w14:textFill>
        </w:rPr>
        <w:t xml:space="preserve"> </w:t>
      </w:r>
      <w:r>
        <w:rPr>
          <w:rFonts w:hint="eastAsia" w:ascii="楷体" w:hAnsi="楷体" w:eastAsia="楷体" w:cs="楷体"/>
          <w:b/>
          <w:bCs/>
          <w:color w:val="000000" w:themeColor="text1"/>
          <w:sz w:val="32"/>
          <w:szCs w:val="32"/>
          <w14:textFill>
            <w14:solidFill>
              <w14:schemeClr w14:val="tx1"/>
            </w14:solidFill>
          </w14:textFill>
        </w:rPr>
        <w:t>2022年）。</w:t>
      </w:r>
      <w:r>
        <w:rPr>
          <w:rFonts w:hint="eastAsia" w:ascii="仿宋_GB2312" w:hAnsi="仿宋_GB2312" w:eastAsia="仿宋_GB2312" w:cs="仿宋_GB2312"/>
          <w:color w:val="000000" w:themeColor="text1"/>
          <w:sz w:val="32"/>
          <w:szCs w:val="32"/>
          <w14:textFill>
            <w14:solidFill>
              <w14:schemeClr w14:val="tx1"/>
            </w14:solidFill>
          </w14:textFill>
        </w:rPr>
        <w:t>针对安全生产专项整治工作中发现的突出问题，分析深层次矛盾和原因，总结经验做法，研究提出进一步加强安全管理的措施，形成常态化、制度化、规范化的制度成果</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推动体育系统安全生产工作能力现代化。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五、保障措施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eastAsia="zh-CN"/>
          <w14:textFill>
            <w14:solidFill>
              <w14:schemeClr w14:val="tx1"/>
            </w14:solidFill>
          </w14:textFill>
        </w:rPr>
        <w:t>（一）</w:t>
      </w:r>
      <w:r>
        <w:rPr>
          <w:rFonts w:hint="eastAsia" w:ascii="楷体" w:hAnsi="楷体" w:eastAsia="楷体" w:cs="楷体"/>
          <w:b/>
          <w:bCs/>
          <w:color w:val="000000" w:themeColor="text1"/>
          <w:sz w:val="32"/>
          <w:szCs w:val="32"/>
          <w14:textFill>
            <w14:solidFill>
              <w14:schemeClr w14:val="tx1"/>
            </w14:solidFill>
          </w14:textFill>
        </w:rPr>
        <w:t>强化组织领导。</w:t>
      </w:r>
      <w:r>
        <w:rPr>
          <w:rFonts w:hint="eastAsia" w:ascii="仿宋_GB2312" w:hAnsi="仿宋_GB2312" w:eastAsia="仿宋_GB2312" w:cs="仿宋_GB2312"/>
          <w:color w:val="000000" w:themeColor="text1"/>
          <w:sz w:val="32"/>
          <w:szCs w:val="32"/>
          <w14:textFill>
            <w14:solidFill>
              <w14:schemeClr w14:val="tx1"/>
            </w14:solidFill>
          </w14:textFill>
        </w:rPr>
        <w:t>各单位要深刻认识做好专项整治三年行动的重要性</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加强组织领导，成立安全生产专项整治工作领导小组，结合实际制定方案，抓好组织实施，确保整治工作有力有序推进。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eastAsia="zh-CN"/>
          <w14:textFill>
            <w14:solidFill>
              <w14:schemeClr w14:val="tx1"/>
            </w14:solidFill>
          </w14:textFill>
        </w:rPr>
        <w:t>（二）</w:t>
      </w:r>
      <w:r>
        <w:rPr>
          <w:rFonts w:hint="eastAsia" w:ascii="楷体" w:hAnsi="楷体" w:eastAsia="楷体" w:cs="楷体"/>
          <w:b/>
          <w:bCs/>
          <w:color w:val="000000" w:themeColor="text1"/>
          <w:sz w:val="32"/>
          <w:szCs w:val="32"/>
          <w14:textFill>
            <w14:solidFill>
              <w14:schemeClr w14:val="tx1"/>
            </w14:solidFill>
          </w14:textFill>
        </w:rPr>
        <w:t>强化工作督导。</w:t>
      </w:r>
      <w:r>
        <w:rPr>
          <w:rFonts w:hint="eastAsia" w:ascii="仿宋_GB2312" w:hAnsi="仿宋_GB2312" w:eastAsia="仿宋_GB2312" w:cs="仿宋_GB2312"/>
          <w:color w:val="000000" w:themeColor="text1"/>
          <w:sz w:val="32"/>
          <w:szCs w:val="32"/>
          <w14:textFill>
            <w14:solidFill>
              <w14:schemeClr w14:val="tx1"/>
            </w14:solidFill>
          </w14:textFill>
        </w:rPr>
        <w:t>各单位要强化责任落实，力戒形式主义、官僚主义，针对重点区域和重要时间节点，加强防范措施</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突出应急值守和应急预案，确保工作取得实效。市局适时开展督促指导和检查，并对相关情况进行通报。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（三）强化宣传引导。</w:t>
      </w:r>
      <w:r>
        <w:rPr>
          <w:rFonts w:hint="eastAsia" w:ascii="仿宋_GB2312" w:hAnsi="仿宋_GB2312" w:eastAsia="仿宋_GB2312" w:cs="仿宋_GB2312"/>
          <w:color w:val="000000" w:themeColor="text1"/>
          <w:sz w:val="32"/>
          <w:szCs w:val="32"/>
          <w14:textFill>
            <w14:solidFill>
              <w14:schemeClr w14:val="tx1"/>
            </w14:solidFill>
          </w14:textFill>
        </w:rPr>
        <w:t>各单位要分时段组织开展以“安全生产月”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119</w:t>
      </w:r>
      <w:r>
        <w:rPr>
          <w:rFonts w:hint="eastAsia" w:ascii="仿宋_GB2312" w:hAnsi="仿宋_GB2312" w:eastAsia="仿宋_GB2312" w:cs="仿宋_GB2312"/>
          <w:color w:val="000000" w:themeColor="text1"/>
          <w:sz w:val="32"/>
          <w:szCs w:val="32"/>
          <w14:textFill>
            <w14:solidFill>
              <w14:schemeClr w14:val="tx1"/>
            </w14:solidFill>
          </w14:textFill>
        </w:rPr>
        <w:t>消防宣传月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“国家防灾减灾日”等重要时间节点的安全生产、消防等系列安全宣传、教育培训和演练活动，营造浓厚社会氛围，切实提升体育系统整体安全防范水平。</w:t>
      </w:r>
    </w:p>
    <w:p>
      <w:pPr>
        <w:pStyle w:val="2"/>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本实施方案自</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2020年12月28日至2022年12月31日施行。</w:t>
      </w:r>
    </w:p>
    <w:p>
      <w:pPr>
        <w:pStyle w:val="2"/>
        <w:rPr>
          <w:rFonts w:hint="default" w:ascii="仿宋_GB2312" w:hAnsi="仿宋_GB2312" w:eastAsia="仿宋_GB2312" w:cs="仿宋_GB2312"/>
          <w:color w:val="000000" w:themeColor="text1"/>
          <w:sz w:val="32"/>
          <w:szCs w:val="32"/>
          <w:lang w:val="en-US" w:eastAsia="zh-CN"/>
          <w14:textFill>
            <w14:solidFill>
              <w14:schemeClr w14:val="tx1"/>
            </w14:solidFill>
          </w14:textFill>
        </w:rPr>
      </w:pPr>
    </w:p>
    <w:p>
      <w:pPr>
        <w:pStyle w:val="2"/>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具体责任清单</w:t>
      </w:r>
    </w:p>
    <w:p>
      <w:pPr>
        <w:rPr>
          <w:rFonts w:hint="eastAsia" w:ascii="仿宋_GB2312" w:hAnsi="仿宋_GB2312" w:eastAsia="仿宋_GB2312" w:cs="仿宋_GB2312"/>
          <w:color w:val="000000" w:themeColor="text1"/>
          <w:sz w:val="32"/>
          <w:szCs w:val="32"/>
          <w14:textFill>
            <w14:solidFill>
              <w14:schemeClr w14:val="tx1"/>
            </w14:solidFill>
          </w14:textFill>
        </w:rPr>
      </w:pPr>
    </w:p>
    <w:p>
      <w:pPr>
        <w:rPr>
          <w:rFonts w:hint="eastAsia" w:ascii="仿宋_GB2312" w:hAnsi="仿宋_GB2312" w:eastAsia="仿宋_GB2312" w:cs="仿宋_GB2312"/>
          <w:color w:val="000000" w:themeColor="text1"/>
          <w:sz w:val="32"/>
          <w:szCs w:val="32"/>
          <w14:textFill>
            <w14:solidFill>
              <w14:schemeClr w14:val="tx1"/>
            </w14:solidFill>
          </w14:textFill>
        </w:rPr>
      </w:pPr>
    </w:p>
    <w:p>
      <w:pPr>
        <w:rPr>
          <w:rFonts w:hint="eastAsia" w:ascii="仿宋_GB2312" w:hAnsi="仿宋_GB2312" w:eastAsia="仿宋_GB2312" w:cs="仿宋_GB2312"/>
          <w:color w:val="000000" w:themeColor="text1"/>
          <w:sz w:val="32"/>
          <w:szCs w:val="32"/>
          <w14:textFill>
            <w14:solidFill>
              <w14:schemeClr w14:val="tx1"/>
            </w14:solidFill>
          </w14:textFill>
        </w:rPr>
      </w:pPr>
    </w:p>
    <w:p>
      <w:pPr>
        <w:rPr>
          <w:rFonts w:hint="eastAsia" w:ascii="仿宋_GB2312" w:hAnsi="仿宋_GB2312" w:eastAsia="仿宋_GB2312" w:cs="仿宋_GB2312"/>
          <w:color w:val="000000" w:themeColor="text1"/>
          <w:sz w:val="32"/>
          <w:szCs w:val="32"/>
          <w14:textFill>
            <w14:solidFill>
              <w14:schemeClr w14:val="tx1"/>
            </w14:solidFill>
          </w14:textFill>
        </w:rPr>
      </w:pPr>
    </w:p>
    <w:p>
      <w:pPr>
        <w:rPr>
          <w:rFonts w:hint="eastAsia" w:ascii="仿宋_GB2312" w:hAnsi="仿宋_GB2312" w:eastAsia="仿宋_GB2312" w:cs="仿宋_GB2312"/>
          <w:color w:val="000000" w:themeColor="text1"/>
          <w:sz w:val="32"/>
          <w:szCs w:val="32"/>
          <w14:textFill>
            <w14:solidFill>
              <w14:schemeClr w14:val="tx1"/>
            </w14:solidFill>
          </w14:textFill>
        </w:rPr>
      </w:pPr>
    </w:p>
    <w:p>
      <w:pPr>
        <w:rPr>
          <w:rFonts w:hint="eastAsia" w:ascii="仿宋_GB2312" w:hAnsi="仿宋_GB2312" w:eastAsia="仿宋_GB2312" w:cs="仿宋_GB2312"/>
          <w:color w:val="000000" w:themeColor="text1"/>
          <w:sz w:val="32"/>
          <w:szCs w:val="32"/>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具</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体</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责任清单</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color w:val="000000" w:themeColor="text1"/>
          <w:sz w:val="13"/>
          <w:szCs w:val="13"/>
          <w14:textFill>
            <w14:solidFill>
              <w14:schemeClr w14:val="tx1"/>
            </w14:solidFill>
          </w14:textFill>
        </w:rPr>
      </w:pPr>
    </w:p>
    <w:tbl>
      <w:tblPr>
        <w:tblStyle w:val="4"/>
        <w:tblW w:w="14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12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2" w:hRule="atLeast"/>
        </w:trPr>
        <w:tc>
          <w:tcPr>
            <w:tcW w:w="1500" w:type="dxa"/>
            <w:vAlign w:val="center"/>
          </w:tcPr>
          <w:p>
            <w:pPr>
              <w:jc w:val="center"/>
              <w:rPr>
                <w:rFonts w:hint="eastAsia" w:ascii="仿宋_GB2312" w:hAnsi="仿宋_GB2312" w:eastAsia="仿宋_GB2312" w:cs="仿宋_GB2312"/>
                <w:color w:val="000000" w:themeColor="text1"/>
                <w:sz w:val="28"/>
                <w:szCs w:val="28"/>
                <w:vertAlign w:val="baseline"/>
                <w:lang w:eastAsia="zh-CN"/>
                <w14:textFill>
                  <w14:solidFill>
                    <w14:schemeClr w14:val="tx1"/>
                  </w14:solidFill>
                </w14:textFill>
              </w:rPr>
            </w:pPr>
            <w:r>
              <w:rPr>
                <w:rFonts w:hint="eastAsia" w:ascii="仿宋_GB2312" w:hAnsi="仿宋_GB2312" w:eastAsia="仿宋_GB2312" w:cs="仿宋_GB2312"/>
                <w:color w:val="000000" w:themeColor="text1"/>
                <w:sz w:val="28"/>
                <w:szCs w:val="28"/>
                <w:vertAlign w:val="baseline"/>
                <w:lang w:eastAsia="zh-CN"/>
                <w14:textFill>
                  <w14:solidFill>
                    <w14:schemeClr w14:val="tx1"/>
                  </w14:solidFill>
                </w14:textFill>
              </w:rPr>
              <w:t>体育股</w:t>
            </w:r>
          </w:p>
        </w:tc>
        <w:tc>
          <w:tcPr>
            <w:tcW w:w="12699" w:type="dxa"/>
            <w:vAlign w:val="center"/>
          </w:tcPr>
          <w:p>
            <w:pPr>
              <w:keepNext w:val="0"/>
              <w:keepLines w:val="0"/>
              <w:pageBreakBefore w:val="0"/>
              <w:widowControl w:val="0"/>
              <w:kinsoku/>
              <w:wordWrap/>
              <w:overflowPunct/>
              <w:topLinePunct w:val="0"/>
              <w:autoSpaceDE/>
              <w:autoSpaceDN/>
              <w:bidi w:val="0"/>
              <w:adjustRightInd/>
              <w:snapToGrid w:val="0"/>
              <w:ind w:left="0" w:leftChars="0" w:firstLine="490" w:firstLineChars="175"/>
              <w:jc w:val="both"/>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1.</w:t>
            </w:r>
            <w:r>
              <w:rPr>
                <w:rFonts w:hint="eastAsia" w:ascii="仿宋_GB2312" w:hAnsi="仿宋_GB2312" w:eastAsia="仿宋_GB2312" w:cs="仿宋_GB2312"/>
                <w:color w:val="000000" w:themeColor="text1"/>
                <w:sz w:val="28"/>
                <w:szCs w:val="28"/>
                <w14:textFill>
                  <w14:solidFill>
                    <w14:schemeClr w14:val="tx1"/>
                  </w14:solidFill>
                </w14:textFill>
              </w:rPr>
              <w:t>负</w:t>
            </w:r>
            <w:r>
              <w:rPr>
                <w:rFonts w:hint="eastAsia" w:ascii="仿宋_GB2312" w:hAnsi="仿宋_GB2312" w:eastAsia="仿宋_GB2312" w:cs="仿宋_GB2312"/>
                <w:color w:val="000000" w:themeColor="text1"/>
                <w:sz w:val="28"/>
                <w:szCs w:val="28"/>
                <w:lang w:eastAsia="zh-CN"/>
                <w14:textFill>
                  <w14:solidFill>
                    <w14:schemeClr w14:val="tx1"/>
                  </w14:solidFill>
                </w14:textFill>
              </w:rPr>
              <w:t>责</w:t>
            </w:r>
            <w:r>
              <w:rPr>
                <w:rFonts w:hint="eastAsia" w:ascii="仿宋_GB2312" w:hAnsi="仿宋_GB2312" w:eastAsia="仿宋_GB2312" w:cs="仿宋_GB2312"/>
                <w:color w:val="000000" w:themeColor="text1"/>
                <w:sz w:val="28"/>
                <w:szCs w:val="28"/>
                <w14:textFill>
                  <w14:solidFill>
                    <w14:schemeClr w14:val="tx1"/>
                  </w14:solidFill>
                </w14:textFill>
              </w:rPr>
              <w:t>对所属公共体育场馆</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设施，社会俱乐部安全生产和消防安全管理，制定大型活动突发公共事件应急预案，加强隐患排查治理和对管理人员的安全教育培训；</w:t>
            </w:r>
          </w:p>
          <w:p>
            <w:pPr>
              <w:keepNext w:val="0"/>
              <w:keepLines w:val="0"/>
              <w:pageBreakBefore w:val="0"/>
              <w:widowControl w:val="0"/>
              <w:kinsoku/>
              <w:wordWrap/>
              <w:overflowPunct/>
              <w:topLinePunct w:val="0"/>
              <w:autoSpaceDE/>
              <w:autoSpaceDN/>
              <w:bidi w:val="0"/>
              <w:adjustRightInd/>
              <w:snapToGrid w:val="0"/>
              <w:ind w:left="0" w:leftChars="0" w:firstLine="490" w:firstLineChars="175"/>
              <w:jc w:val="both"/>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color w:val="000000" w:themeColor="text1"/>
                <w:sz w:val="28"/>
                <w:szCs w:val="28"/>
                <w14:textFill>
                  <w14:solidFill>
                    <w14:schemeClr w14:val="tx1"/>
                  </w14:solidFill>
                </w14:textFill>
              </w:rPr>
              <w:t>负责督促所属社会体育俱乐部健全内部治理结构，完善安全管理制度，认真落实安全生产主体责任；</w:t>
            </w:r>
          </w:p>
          <w:p>
            <w:pPr>
              <w:keepNext w:val="0"/>
              <w:keepLines w:val="0"/>
              <w:pageBreakBefore w:val="0"/>
              <w:widowControl w:val="0"/>
              <w:kinsoku/>
              <w:wordWrap/>
              <w:overflowPunct/>
              <w:topLinePunct w:val="0"/>
              <w:autoSpaceDE/>
              <w:autoSpaceDN/>
              <w:bidi w:val="0"/>
              <w:adjustRightInd/>
              <w:snapToGrid w:val="0"/>
              <w:ind w:left="0" w:leftChars="0" w:firstLine="490" w:firstLineChars="175"/>
              <w:jc w:val="both"/>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3.</w:t>
            </w:r>
            <w:r>
              <w:rPr>
                <w:rFonts w:hint="eastAsia" w:ascii="仿宋_GB2312" w:hAnsi="仿宋_GB2312" w:eastAsia="仿宋_GB2312" w:cs="仿宋_GB2312"/>
                <w:color w:val="000000" w:themeColor="text1"/>
                <w:sz w:val="28"/>
                <w:szCs w:val="28"/>
                <w14:textFill>
                  <w14:solidFill>
                    <w14:schemeClr w14:val="tx1"/>
                  </w14:solidFill>
                </w14:textFill>
              </w:rPr>
              <w:t>负责做好游泳、滑雪、攀岩、潜水等经营高危险性体育项目及大型体育活动的安全监督管理工作；</w:t>
            </w:r>
          </w:p>
          <w:p>
            <w:pPr>
              <w:keepNext w:val="0"/>
              <w:keepLines w:val="0"/>
              <w:pageBreakBefore w:val="0"/>
              <w:widowControl w:val="0"/>
              <w:kinsoku/>
              <w:wordWrap/>
              <w:overflowPunct/>
              <w:topLinePunct w:val="0"/>
              <w:autoSpaceDE/>
              <w:autoSpaceDN/>
              <w:bidi w:val="0"/>
              <w:adjustRightInd/>
              <w:snapToGrid w:val="0"/>
              <w:ind w:left="0" w:leftChars="0" w:firstLine="490" w:firstLineChars="175"/>
              <w:jc w:val="both"/>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4.</w:t>
            </w:r>
            <w:r>
              <w:rPr>
                <w:rFonts w:hint="eastAsia" w:ascii="仿宋_GB2312" w:hAnsi="仿宋_GB2312" w:eastAsia="仿宋_GB2312" w:cs="仿宋_GB2312"/>
                <w:color w:val="000000" w:themeColor="text1"/>
                <w:sz w:val="28"/>
                <w:szCs w:val="28"/>
                <w14:textFill>
                  <w14:solidFill>
                    <w14:schemeClr w14:val="tx1"/>
                  </w14:solidFill>
                </w14:textFill>
              </w:rPr>
              <w:t>按照“谁审批、谁负</w:t>
            </w:r>
            <w:r>
              <w:rPr>
                <w:rFonts w:hint="eastAsia" w:ascii="仿宋_GB2312" w:hAnsi="仿宋_GB2312" w:eastAsia="仿宋_GB2312" w:cs="仿宋_GB2312"/>
                <w:color w:val="000000" w:themeColor="text1"/>
                <w:sz w:val="28"/>
                <w:szCs w:val="28"/>
                <w:lang w:eastAsia="zh-CN"/>
                <w14:textFill>
                  <w14:solidFill>
                    <w14:schemeClr w14:val="tx1"/>
                  </w14:solidFill>
                </w14:textFill>
              </w:rPr>
              <w:t>责</w:t>
            </w:r>
            <w:r>
              <w:rPr>
                <w:rFonts w:hint="eastAsia" w:ascii="仿宋_GB2312" w:hAnsi="仿宋_GB2312" w:eastAsia="仿宋_GB2312" w:cs="仿宋_GB2312"/>
                <w:color w:val="000000" w:themeColor="text1"/>
                <w:sz w:val="28"/>
                <w:szCs w:val="28"/>
                <w14:textFill>
                  <w14:solidFill>
                    <w14:schemeClr w14:val="tx1"/>
                  </w14:solidFill>
                </w14:textFill>
              </w:rPr>
              <w:t>，谁主办、谁负责”和分级分类管理的原则，建立体育赛事和活动安全风险评估机制，指导相关单位科学制定工作预案，实现“一赛事一清单”和“一活动一清单”</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ind w:left="0" w:leftChars="0" w:firstLine="490" w:firstLineChars="175"/>
              <w:jc w:val="both"/>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5.</w:t>
            </w:r>
            <w:r>
              <w:rPr>
                <w:rFonts w:hint="eastAsia" w:ascii="仿宋_GB2312" w:hAnsi="仿宋_GB2312" w:eastAsia="仿宋_GB2312" w:cs="仿宋_GB2312"/>
                <w:color w:val="000000" w:themeColor="text1"/>
                <w:sz w:val="28"/>
                <w:szCs w:val="28"/>
                <w14:textFill>
                  <w14:solidFill>
                    <w14:schemeClr w14:val="tx1"/>
                  </w14:solidFill>
                </w14:textFill>
              </w:rPr>
              <w:t>按照分级属地原则，每年至少组织开展一次体育系统负责人和安全管理人员的安全教育培训</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ind w:left="0" w:leftChars="0" w:firstLine="490" w:firstLineChars="175"/>
              <w:jc w:val="both"/>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6.</w:t>
            </w:r>
            <w:r>
              <w:rPr>
                <w:rFonts w:hint="eastAsia" w:ascii="仿宋_GB2312" w:hAnsi="仿宋_GB2312" w:eastAsia="仿宋_GB2312" w:cs="仿宋_GB2312"/>
                <w:color w:val="000000" w:themeColor="text1"/>
                <w:sz w:val="28"/>
                <w:szCs w:val="28"/>
                <w14:textFill>
                  <w14:solidFill>
                    <w14:schemeClr w14:val="tx1"/>
                  </w14:solidFill>
                </w14:textFill>
              </w:rPr>
              <w:t>制定并落实体育系统安全生产专项整治三年行动实施方案</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ind w:left="0" w:leftChars="0" w:firstLine="490" w:firstLineChars="175"/>
              <w:jc w:val="both"/>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7.</w:t>
            </w:r>
            <w:r>
              <w:rPr>
                <w:rFonts w:hint="eastAsia" w:ascii="仿宋_GB2312" w:hAnsi="仿宋_GB2312" w:eastAsia="仿宋_GB2312" w:cs="仿宋_GB2312"/>
                <w:color w:val="000000" w:themeColor="text1"/>
                <w:sz w:val="28"/>
                <w:szCs w:val="28"/>
                <w14:textFill>
                  <w14:solidFill>
                    <w14:schemeClr w14:val="tx1"/>
                  </w14:solidFill>
                </w14:textFill>
              </w:rPr>
              <w:t>负责青少年体育与竟技体育活动安全指导工作；做好赛事举办安全研判，确保相关体育活动安全举办</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ind w:left="0" w:leftChars="0" w:firstLine="490" w:firstLineChars="175"/>
              <w:jc w:val="both"/>
              <w:textAlignment w:val="auto"/>
              <w:rPr>
                <w:rFonts w:hint="eastAsia" w:ascii="仿宋_GB2312" w:hAnsi="仿宋_GB2312" w:eastAsia="仿宋_GB2312" w:cs="仿宋_GB2312"/>
                <w:color w:val="000000" w:themeColor="text1"/>
                <w:sz w:val="28"/>
                <w:szCs w:val="28"/>
                <w:vertAlign w:val="baseline"/>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8.</w:t>
            </w:r>
            <w:r>
              <w:rPr>
                <w:rFonts w:hint="eastAsia" w:ascii="仿宋_GB2312" w:hAnsi="仿宋_GB2312" w:eastAsia="仿宋_GB2312" w:cs="仿宋_GB2312"/>
                <w:color w:val="000000" w:themeColor="text1"/>
                <w:sz w:val="28"/>
                <w:szCs w:val="28"/>
                <w14:textFill>
                  <w14:solidFill>
                    <w14:schemeClr w14:val="tx1"/>
                  </w14:solidFill>
                </w14:textFill>
              </w:rPr>
              <w:t>负责运动枪支弹药和危险化学品安全管理，排查风险隐患</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完善规章制度。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0" w:hRule="atLeast"/>
        </w:trPr>
        <w:tc>
          <w:tcPr>
            <w:tcW w:w="1500" w:type="dxa"/>
            <w:vAlign w:val="center"/>
          </w:tcPr>
          <w:p>
            <w:pPr>
              <w:jc w:val="center"/>
              <w:rPr>
                <w:rFonts w:hint="eastAsia" w:ascii="仿宋_GB2312" w:hAnsi="仿宋_GB2312" w:eastAsia="仿宋_GB2312" w:cs="仿宋_GB2312"/>
                <w:color w:val="000000" w:themeColor="text1"/>
                <w:sz w:val="28"/>
                <w:szCs w:val="28"/>
                <w:vertAlign w:val="baseline"/>
                <w:lang w:eastAsia="zh-CN"/>
                <w14:textFill>
                  <w14:solidFill>
                    <w14:schemeClr w14:val="tx1"/>
                  </w14:solidFill>
                </w14:textFill>
              </w:rPr>
            </w:pPr>
            <w:r>
              <w:rPr>
                <w:rFonts w:hint="eastAsia" w:ascii="仿宋_GB2312" w:hAnsi="仿宋_GB2312" w:eastAsia="仿宋_GB2312" w:cs="仿宋_GB2312"/>
                <w:color w:val="000000" w:themeColor="text1"/>
                <w:sz w:val="28"/>
                <w:szCs w:val="28"/>
                <w:vertAlign w:val="baseline"/>
                <w:lang w:eastAsia="zh-CN"/>
                <w14:textFill>
                  <w14:solidFill>
                    <w14:schemeClr w14:val="tx1"/>
                  </w14:solidFill>
                </w14:textFill>
              </w:rPr>
              <w:t>文化市场综合行政执法大队</w:t>
            </w:r>
          </w:p>
        </w:tc>
        <w:tc>
          <w:tcPr>
            <w:tcW w:w="12699" w:type="dxa"/>
            <w:vAlign w:val="center"/>
          </w:tcPr>
          <w:p>
            <w:pPr>
              <w:keepNext w:val="0"/>
              <w:keepLines w:val="0"/>
              <w:pageBreakBefore w:val="0"/>
              <w:widowControl w:val="0"/>
              <w:kinsoku/>
              <w:wordWrap/>
              <w:overflowPunct/>
              <w:topLinePunct w:val="0"/>
              <w:autoSpaceDE/>
              <w:autoSpaceDN/>
              <w:bidi w:val="0"/>
              <w:adjustRightInd/>
              <w:snapToGrid w:val="0"/>
              <w:ind w:left="0" w:leftChars="0" w:firstLine="490" w:firstLineChars="175"/>
              <w:jc w:val="both"/>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1.</w:t>
            </w:r>
            <w:r>
              <w:rPr>
                <w:rFonts w:hint="eastAsia" w:ascii="仿宋_GB2312" w:hAnsi="仿宋_GB2312" w:eastAsia="仿宋_GB2312" w:cs="仿宋_GB2312"/>
                <w:color w:val="000000" w:themeColor="text1"/>
                <w:sz w:val="28"/>
                <w:szCs w:val="28"/>
                <w14:textFill>
                  <w14:solidFill>
                    <w14:schemeClr w14:val="tx1"/>
                  </w14:solidFill>
                </w14:textFill>
              </w:rPr>
              <w:t>负责对全市体育市场经营场所进行安全执法检查，督促企业加强安全管理，落实安全生产主体责任，推动企业构建安全风险分级管控和隐患排查治理双重预防工作机制，督促企业每年至少开展一</w:t>
            </w:r>
            <w:r>
              <w:rPr>
                <w:rFonts w:hint="eastAsia" w:ascii="仿宋_GB2312" w:hAnsi="仿宋_GB2312" w:eastAsia="仿宋_GB2312" w:cs="仿宋_GB2312"/>
                <w:color w:val="000000" w:themeColor="text1"/>
                <w:sz w:val="28"/>
                <w:szCs w:val="28"/>
                <w:lang w:eastAsia="zh-CN"/>
                <w14:textFill>
                  <w14:solidFill>
                    <w14:schemeClr w14:val="tx1"/>
                  </w14:solidFill>
                </w14:textFill>
              </w:rPr>
              <w:t>次</w:t>
            </w:r>
            <w:r>
              <w:rPr>
                <w:rFonts w:hint="eastAsia" w:ascii="仿宋_GB2312" w:hAnsi="仿宋_GB2312" w:eastAsia="仿宋_GB2312" w:cs="仿宋_GB2312"/>
                <w:color w:val="000000" w:themeColor="text1"/>
                <w:sz w:val="28"/>
                <w:szCs w:val="28"/>
                <w14:textFill>
                  <w14:solidFill>
                    <w14:schemeClr w14:val="tx1"/>
                  </w14:solidFill>
                </w14:textFill>
              </w:rPr>
              <w:t>综合应急演练；</w:t>
            </w:r>
          </w:p>
          <w:p>
            <w:pPr>
              <w:keepNext w:val="0"/>
              <w:keepLines w:val="0"/>
              <w:pageBreakBefore w:val="0"/>
              <w:widowControl w:val="0"/>
              <w:kinsoku/>
              <w:wordWrap/>
              <w:overflowPunct/>
              <w:topLinePunct w:val="0"/>
              <w:autoSpaceDE/>
              <w:autoSpaceDN/>
              <w:bidi w:val="0"/>
              <w:adjustRightInd/>
              <w:snapToGrid w:val="0"/>
              <w:ind w:left="0" w:leftChars="0" w:firstLine="490" w:firstLineChars="175"/>
              <w:jc w:val="both"/>
              <w:textAlignment w:val="auto"/>
              <w:rPr>
                <w:rFonts w:hint="eastAsia" w:ascii="仿宋_GB2312" w:hAnsi="仿宋_GB2312" w:eastAsia="仿宋_GB2312" w:cs="仿宋_GB2312"/>
                <w:color w:val="000000" w:themeColor="text1"/>
                <w:sz w:val="28"/>
                <w:szCs w:val="28"/>
                <w:vertAlign w:val="baselin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2.组织开展对高危险性体育项目经营许可专项整治，严厉打击无证、证照不全、虚假宣传、擅自经营等扰乱市场环境的违法违规行为。</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ascii="仿宋_GB2312" w:hAnsi="仿宋_GB2312" w:eastAsia="仿宋_GB2312" w:cs="仿宋_GB2312"/>
          <w:color w:val="000000" w:themeColor="text1"/>
          <w:sz w:val="24"/>
          <w:szCs w:val="24"/>
          <w14:textFill>
            <w14:solidFill>
              <w14:schemeClr w14:val="tx1"/>
            </w14:solidFill>
          </w14:textFill>
        </w:rPr>
      </w:pPr>
    </w:p>
    <w:sectPr>
      <w:type w:val="continuous"/>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yY2QwNDUyZmRiNzQ0ZGJjYjE2MTk0ZmZlOWQxYTMifQ=="/>
  </w:docVars>
  <w:rsids>
    <w:rsidRoot w:val="2B3D0C35"/>
    <w:rsid w:val="05C93214"/>
    <w:rsid w:val="136A754E"/>
    <w:rsid w:val="22263167"/>
    <w:rsid w:val="2B3D0C35"/>
    <w:rsid w:val="2E615EB4"/>
    <w:rsid w:val="2FF519A8"/>
    <w:rsid w:val="37EA6BED"/>
    <w:rsid w:val="3B635273"/>
    <w:rsid w:val="41DF61F2"/>
    <w:rsid w:val="43BF54D3"/>
    <w:rsid w:val="4D451691"/>
    <w:rsid w:val="4F257013"/>
    <w:rsid w:val="4F991B78"/>
    <w:rsid w:val="508A4C12"/>
    <w:rsid w:val="54D87969"/>
    <w:rsid w:val="59914D4C"/>
    <w:rsid w:val="628B0C80"/>
    <w:rsid w:val="675079F4"/>
    <w:rsid w:val="6A0C64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200" w:firstLineChars="200"/>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2996</Words>
  <Characters>3083</Characters>
  <Lines>0</Lines>
  <Paragraphs>0</Paragraphs>
  <TotalTime>0</TotalTime>
  <ScaleCrop>false</ScaleCrop>
  <LinksUpToDate>false</LinksUpToDate>
  <CharactersWithSpaces>3092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2020-12-30T03:27:00Z</dcterms:created>
  <dc:creator>Kathy❤°</dc:creator>
  <cp:lastModifiedBy>小c</cp:lastModifiedBy>
  <cp:lastPrinted>2022-11-16T07:07:00Z</cp:lastPrinted>
  <dcterms:modified xsi:type="dcterms:W3CDTF">2022-11-29T08:49:26Z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3B4F00CFC48A4539AEA30BF7A6769D7A</vt:lpwstr>
  </property>
</Properties>
</file>