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_GBK" w:hAnsi="方正小标宋_GBK" w:eastAsia="方正小标宋_GBK" w:cs="方正小标宋_GBK"/>
          <w:sz w:val="44"/>
          <w:szCs w:val="44"/>
          <w:lang w:val="en-US" w:eastAsia="zh-CN" w:bidi="ar-SA"/>
        </w:rPr>
      </w:pPr>
      <w:bookmarkStart w:id="0" w:name="_GoBack"/>
      <w:r>
        <w:rPr>
          <w:rFonts w:hint="eastAsia" w:ascii="方正小标宋_GBK" w:hAnsi="方正小标宋_GBK" w:eastAsia="方正小标宋_GBK" w:cs="方正小标宋_GBK"/>
          <w:sz w:val="44"/>
          <w:szCs w:val="44"/>
          <w:lang w:val="en-US" w:eastAsia="zh-CN" w:bidi="ar-SA"/>
        </w:rPr>
        <w:t>湘乡市2022年政府信息公开工作</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黑体" w:hAnsi="黑体" w:eastAsia="黑体" w:cs="黑体"/>
          <w:b w:val="0"/>
          <w:bCs/>
          <w:sz w:val="44"/>
          <w:szCs w:val="44"/>
          <w:lang w:bidi="ar-SA"/>
        </w:rPr>
      </w:pPr>
      <w:r>
        <w:rPr>
          <w:rFonts w:hint="eastAsia" w:ascii="方正小标宋_GBK" w:hAnsi="方正小标宋_GBK" w:eastAsia="方正小标宋_GBK" w:cs="方正小标宋_GBK"/>
          <w:sz w:val="44"/>
          <w:szCs w:val="44"/>
          <w:lang w:val="en-US" w:eastAsia="zh-CN" w:bidi="ar-SA"/>
        </w:rPr>
        <w:t>年度报告</w:t>
      </w:r>
    </w:p>
    <w:bookmarkEnd w:id="0"/>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160" w:firstLineChars="100"/>
        <w:jc w:val="both"/>
        <w:textAlignment w:val="auto"/>
        <w:rPr>
          <w:rFonts w:hint="eastAsia" w:ascii="黑体" w:hAnsi="黑体" w:eastAsia="黑体" w:cs="黑体"/>
          <w:b w:val="0"/>
          <w:bCs/>
          <w:sz w:val="16"/>
          <w:szCs w:val="16"/>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一、总体情况</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eastAsia="zh-CN" w:bidi="ar-SA"/>
        </w:rPr>
      </w:pPr>
      <w:r>
        <w:rPr>
          <w:rFonts w:hint="eastAsia" w:ascii="仿宋" w:hAnsi="仿宋" w:eastAsia="仿宋" w:cs="仿宋"/>
          <w:i w:val="0"/>
          <w:iCs w:val="0"/>
          <w:caps w:val="0"/>
          <w:color w:val="000000"/>
          <w:spacing w:val="0"/>
          <w:sz w:val="32"/>
          <w:szCs w:val="32"/>
          <w:shd w:val="clear" w:color="auto" w:fill="FFFFFF"/>
        </w:rPr>
        <w:t>2022年，</w:t>
      </w:r>
      <w:r>
        <w:rPr>
          <w:rFonts w:hint="eastAsia" w:ascii="仿宋" w:hAnsi="仿宋" w:eastAsia="仿宋" w:cs="仿宋"/>
          <w:i w:val="0"/>
          <w:iCs w:val="0"/>
          <w:caps w:val="0"/>
          <w:color w:val="000000"/>
          <w:spacing w:val="0"/>
          <w:sz w:val="32"/>
          <w:szCs w:val="32"/>
          <w:shd w:val="clear" w:color="auto" w:fill="FFFFFF"/>
          <w:lang w:val="en-US" w:eastAsia="zh-CN"/>
        </w:rPr>
        <w:t>湘乡市</w:t>
      </w:r>
      <w:r>
        <w:rPr>
          <w:rFonts w:hint="eastAsia" w:ascii="仿宋" w:hAnsi="仿宋" w:eastAsia="仿宋" w:cs="仿宋"/>
          <w:i w:val="0"/>
          <w:iCs w:val="0"/>
          <w:caps w:val="0"/>
          <w:color w:val="000000"/>
          <w:spacing w:val="0"/>
          <w:sz w:val="32"/>
          <w:szCs w:val="32"/>
          <w:shd w:val="clear" w:color="auto" w:fill="FFFFFF"/>
        </w:rPr>
        <w:t>认真贯彻落实《中华人民共和国政府信息公开条例》及国、省、</w:t>
      </w:r>
      <w:r>
        <w:rPr>
          <w:rFonts w:hint="eastAsia" w:ascii="仿宋" w:hAnsi="仿宋" w:eastAsia="仿宋" w:cs="仿宋"/>
          <w:i w:val="0"/>
          <w:iCs w:val="0"/>
          <w:caps w:val="0"/>
          <w:color w:val="000000"/>
          <w:spacing w:val="0"/>
          <w:sz w:val="32"/>
          <w:szCs w:val="32"/>
          <w:shd w:val="clear" w:color="auto" w:fill="FFFFFF"/>
          <w:lang w:val="en-US" w:eastAsia="zh-CN"/>
        </w:rPr>
        <w:t>湘潭</w:t>
      </w:r>
      <w:r>
        <w:rPr>
          <w:rFonts w:hint="eastAsia" w:ascii="仿宋" w:hAnsi="仿宋" w:eastAsia="仿宋" w:cs="仿宋"/>
          <w:i w:val="0"/>
          <w:iCs w:val="0"/>
          <w:caps w:val="0"/>
          <w:color w:val="000000"/>
          <w:spacing w:val="0"/>
          <w:sz w:val="32"/>
          <w:szCs w:val="32"/>
          <w:shd w:val="clear" w:color="auto" w:fill="FFFFFF"/>
        </w:rPr>
        <w:t>市有关政务公开工作要求，坚持“以公开为常态，不公开为例外”的原则，</w:t>
      </w:r>
      <w:r>
        <w:rPr>
          <w:rFonts w:hint="eastAsia" w:ascii="仿宋" w:hAnsi="仿宋" w:eastAsia="仿宋" w:cs="仿宋"/>
          <w:sz w:val="32"/>
          <w:szCs w:val="32"/>
          <w:lang w:val="en-US" w:eastAsia="zh-CN"/>
        </w:rPr>
        <w:t>以“为民、便民、利民”为出发点，</w:t>
      </w:r>
      <w:r>
        <w:rPr>
          <w:rFonts w:hint="eastAsia" w:ascii="仿宋" w:hAnsi="仿宋" w:eastAsia="仿宋" w:cs="仿宋"/>
          <w:i w:val="0"/>
          <w:iCs w:val="0"/>
          <w:caps w:val="0"/>
          <w:color w:val="000000"/>
          <w:spacing w:val="0"/>
          <w:sz w:val="32"/>
          <w:szCs w:val="32"/>
          <w:shd w:val="clear" w:color="auto" w:fill="FFFFFF"/>
        </w:rPr>
        <w:t>不断拓展公开内容，</w:t>
      </w:r>
      <w:r>
        <w:rPr>
          <w:rFonts w:hint="eastAsia" w:ascii="仿宋" w:hAnsi="仿宋" w:eastAsia="仿宋" w:cs="仿宋"/>
          <w:i w:val="0"/>
          <w:iCs w:val="0"/>
          <w:caps w:val="0"/>
          <w:color w:val="000000"/>
          <w:spacing w:val="0"/>
          <w:sz w:val="32"/>
          <w:szCs w:val="32"/>
          <w:shd w:val="clear" w:color="auto" w:fill="FFFFFF"/>
          <w:lang w:val="en-US" w:eastAsia="zh-CN"/>
        </w:rPr>
        <w:t>拓宽公开渠道，</w:t>
      </w:r>
      <w:r>
        <w:rPr>
          <w:rFonts w:hint="eastAsia" w:ascii="仿宋" w:hAnsi="仿宋" w:eastAsia="仿宋" w:cs="仿宋"/>
          <w:i w:val="0"/>
          <w:iCs w:val="0"/>
          <w:caps w:val="0"/>
          <w:color w:val="000000"/>
          <w:spacing w:val="0"/>
          <w:sz w:val="32"/>
          <w:szCs w:val="32"/>
          <w:shd w:val="clear" w:color="auto" w:fill="FFFFFF"/>
        </w:rPr>
        <w:t>创新公开形式，完善公开制度，强化公开监督，促进政府权力运行的公开透明，提升政府公信力</w:t>
      </w:r>
      <w:r>
        <w:rPr>
          <w:rFonts w:hint="eastAsia" w:ascii="仿宋" w:hAnsi="仿宋" w:eastAsia="仿宋" w:cs="仿宋"/>
          <w:i w:val="0"/>
          <w:iCs w:val="0"/>
          <w:caps w:val="0"/>
          <w:color w:val="000000"/>
          <w:spacing w:val="0"/>
          <w:sz w:val="32"/>
          <w:szCs w:val="32"/>
          <w:shd w:val="clear" w:color="auto" w:fill="FFFFFF"/>
          <w:lang w:eastAsia="zh-CN"/>
        </w:rPr>
        <w:t>，</w:t>
      </w:r>
      <w:r>
        <w:rPr>
          <w:rFonts w:hint="eastAsia" w:ascii="仿宋" w:hAnsi="仿宋" w:eastAsia="仿宋" w:cs="仿宋"/>
          <w:i w:val="0"/>
          <w:iCs w:val="0"/>
          <w:caps w:val="0"/>
          <w:color w:val="000000"/>
          <w:spacing w:val="0"/>
          <w:sz w:val="32"/>
          <w:szCs w:val="32"/>
          <w:shd w:val="clear" w:color="auto" w:fill="FFFFFF"/>
        </w:rPr>
        <w:t>群众满意度、获得感明显提升。</w:t>
      </w:r>
    </w:p>
    <w:p>
      <w:pPr>
        <w:pStyle w:val="4"/>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Style w:val="8"/>
          <w:rFonts w:hint="eastAsia" w:ascii="仿宋" w:hAnsi="仿宋" w:eastAsia="仿宋" w:cs="仿宋"/>
          <w:sz w:val="32"/>
          <w:szCs w:val="32"/>
        </w:rPr>
      </w:pPr>
      <w:r>
        <w:rPr>
          <w:rFonts w:hint="eastAsia" w:ascii="楷体" w:hAnsi="楷体" w:eastAsia="楷体" w:cs="楷体"/>
          <w:b/>
          <w:bCs/>
          <w:sz w:val="32"/>
          <w:szCs w:val="32"/>
          <w:lang w:eastAsia="zh-CN" w:bidi="ar-SA"/>
        </w:rPr>
        <w:t>主动公开</w:t>
      </w:r>
      <w:r>
        <w:rPr>
          <w:rFonts w:hint="eastAsia" w:ascii="楷体" w:hAnsi="楷体" w:eastAsia="楷体" w:cs="楷体"/>
          <w:b/>
          <w:bCs/>
          <w:sz w:val="32"/>
          <w:szCs w:val="32"/>
          <w:lang w:val="en-US" w:eastAsia="zh-CN" w:bidi="ar-SA"/>
        </w:rPr>
        <w:t>情况。</w:t>
      </w:r>
      <w:r>
        <w:rPr>
          <w:rFonts w:hint="eastAsia" w:ascii="仿宋" w:hAnsi="仿宋" w:eastAsia="仿宋" w:cs="仿宋"/>
          <w:b/>
          <w:bCs/>
          <w:i w:val="0"/>
          <w:iCs w:val="0"/>
          <w:caps w:val="0"/>
          <w:color w:val="auto"/>
          <w:spacing w:val="0"/>
          <w:sz w:val="32"/>
          <w:szCs w:val="32"/>
          <w:shd w:val="clear" w:color="auto" w:fill="FFFFFF"/>
          <w:lang w:val="en-US" w:eastAsia="zh-CN"/>
        </w:rPr>
        <w:t>一是</w:t>
      </w:r>
      <w:r>
        <w:rPr>
          <w:rFonts w:hint="eastAsia" w:ascii="仿宋" w:hAnsi="仿宋" w:eastAsia="仿宋" w:cs="仿宋"/>
          <w:b w:val="0"/>
          <w:bCs w:val="0"/>
          <w:i w:val="0"/>
          <w:iCs w:val="0"/>
          <w:caps w:val="0"/>
          <w:color w:val="auto"/>
          <w:spacing w:val="0"/>
          <w:sz w:val="32"/>
          <w:szCs w:val="32"/>
          <w:shd w:val="clear" w:color="auto" w:fill="FFFFFF"/>
          <w:lang w:val="en-US" w:eastAsia="zh-CN"/>
        </w:rPr>
        <w:t>根据国、省、湘潭市政务公开工作要点任务，</w:t>
      </w:r>
      <w:r>
        <w:rPr>
          <w:rStyle w:val="8"/>
          <w:rFonts w:hint="eastAsia" w:ascii="仿宋" w:hAnsi="仿宋" w:eastAsia="仿宋" w:cs="仿宋"/>
          <w:sz w:val="32"/>
          <w:szCs w:val="32"/>
        </w:rPr>
        <w:t>制定《</w:t>
      </w:r>
      <w:r>
        <w:rPr>
          <w:rStyle w:val="8"/>
          <w:rFonts w:hint="eastAsia" w:ascii="仿宋" w:hAnsi="仿宋" w:eastAsia="仿宋" w:cs="仿宋"/>
          <w:sz w:val="32"/>
          <w:szCs w:val="32"/>
          <w:lang w:val="en-US"/>
        </w:rPr>
        <w:t>湘乡市落实2022年</w:t>
      </w:r>
      <w:r>
        <w:rPr>
          <w:rStyle w:val="8"/>
          <w:rFonts w:hint="eastAsia" w:ascii="仿宋" w:hAnsi="仿宋" w:eastAsia="仿宋" w:cs="仿宋"/>
          <w:sz w:val="32"/>
          <w:szCs w:val="32"/>
        </w:rPr>
        <w:t>政务公开工作要点</w:t>
      </w:r>
      <w:r>
        <w:rPr>
          <w:rStyle w:val="8"/>
          <w:rFonts w:hint="eastAsia" w:ascii="仿宋" w:hAnsi="仿宋" w:eastAsia="仿宋" w:cs="仿宋"/>
          <w:sz w:val="32"/>
          <w:szCs w:val="32"/>
          <w:lang w:val="en-US"/>
        </w:rPr>
        <w:t>分工</w:t>
      </w:r>
      <w:r>
        <w:rPr>
          <w:rStyle w:val="8"/>
          <w:rFonts w:hint="eastAsia" w:ascii="仿宋" w:hAnsi="仿宋" w:eastAsia="仿宋" w:cs="仿宋"/>
          <w:sz w:val="32"/>
          <w:szCs w:val="32"/>
        </w:rPr>
        <w:t>方案》</w:t>
      </w:r>
      <w:r>
        <w:rPr>
          <w:rStyle w:val="8"/>
          <w:rFonts w:hint="eastAsia" w:ascii="仿宋" w:hAnsi="仿宋" w:eastAsia="仿宋" w:cs="仿宋"/>
          <w:sz w:val="32"/>
          <w:szCs w:val="32"/>
          <w:lang w:val="en-US"/>
        </w:rPr>
        <w:t>，明确各项任务的牵头落实单位和责任单位，并在政府门户网站上搭建政务公开工作要点专栏，信息内容保障到位。</w:t>
      </w:r>
      <w:r>
        <w:rPr>
          <w:rStyle w:val="8"/>
          <w:rFonts w:hint="eastAsia" w:ascii="仿宋" w:hAnsi="仿宋" w:eastAsia="仿宋" w:cs="仿宋"/>
          <w:b/>
          <w:bCs/>
          <w:sz w:val="32"/>
          <w:szCs w:val="32"/>
          <w:lang w:val="en-US"/>
        </w:rPr>
        <w:t>二是</w:t>
      </w:r>
      <w:r>
        <w:rPr>
          <w:rFonts w:hint="eastAsia" w:ascii="仿宋" w:hAnsi="仿宋" w:eastAsia="仿宋" w:cs="仿宋"/>
          <w:b w:val="0"/>
          <w:bCs w:val="0"/>
          <w:i w:val="0"/>
          <w:iCs w:val="0"/>
          <w:caps w:val="0"/>
          <w:color w:val="auto"/>
          <w:spacing w:val="0"/>
          <w:sz w:val="32"/>
          <w:szCs w:val="32"/>
          <w:shd w:val="clear" w:color="auto" w:fill="FFFFFF"/>
          <w:lang w:val="en-US" w:eastAsia="zh-CN"/>
        </w:rPr>
        <w:t>做好基础信息公开，规范公开政府机构、机构职能、单位概况、领导信息。全面公开财政信息、行政事业性收费、政府采购、重大行政决策预公开、公务员招考等信息。及时做好规划、规范性文件的动态更新和政府全会、政府常务会议全体会议等重点政务信息公开。持续推进民生保障信息公开，围绕中心工作做好三大支撑八项重点、营商环境、乡村振兴、重大项目投资建设、污染防治、疫情防控、教育、就业、食品药品安全等重点领域信息公开，不断推进公共事业单位供水、供电、供气、公共交通、医疗卫生等信息公开。</w:t>
      </w:r>
      <w:r>
        <w:rPr>
          <w:rFonts w:hint="eastAsia" w:ascii="仿宋" w:hAnsi="仿宋" w:eastAsia="仿宋" w:cs="仿宋"/>
          <w:b/>
          <w:bCs/>
          <w:i w:val="0"/>
          <w:iCs w:val="0"/>
          <w:caps w:val="0"/>
          <w:color w:val="auto"/>
          <w:spacing w:val="0"/>
          <w:sz w:val="32"/>
          <w:szCs w:val="32"/>
          <w:shd w:val="clear" w:color="auto" w:fill="FFFFFF"/>
          <w:lang w:val="en-US" w:eastAsia="zh-CN"/>
        </w:rPr>
        <w:t>三是</w:t>
      </w:r>
      <w:r>
        <w:rPr>
          <w:rFonts w:hint="eastAsia" w:ascii="仿宋" w:hAnsi="仿宋" w:eastAsia="仿宋" w:cs="仿宋"/>
          <w:b w:val="0"/>
          <w:bCs w:val="0"/>
          <w:i w:val="0"/>
          <w:iCs w:val="0"/>
          <w:caps w:val="0"/>
          <w:color w:val="auto"/>
          <w:spacing w:val="0"/>
          <w:sz w:val="32"/>
          <w:szCs w:val="32"/>
          <w:shd w:val="clear" w:color="auto" w:fill="FFFFFF"/>
          <w:lang w:val="en-US" w:eastAsia="zh-CN"/>
        </w:rPr>
        <w:t>积极</w:t>
      </w:r>
      <w:r>
        <w:rPr>
          <w:rFonts w:hint="eastAsia" w:ascii="仿宋" w:hAnsi="仿宋" w:eastAsia="仿宋" w:cs="仿宋"/>
          <w:i w:val="0"/>
          <w:iCs w:val="0"/>
          <w:caps w:val="0"/>
          <w:color w:val="000000"/>
          <w:spacing w:val="0"/>
          <w:sz w:val="32"/>
          <w:szCs w:val="32"/>
          <w:shd w:val="clear" w:color="auto" w:fill="FFFFFF"/>
        </w:rPr>
        <w:t>推进基层政务公开标准化规范化</w:t>
      </w:r>
      <w:r>
        <w:rPr>
          <w:rFonts w:hint="eastAsia" w:ascii="仿宋" w:hAnsi="仿宋" w:eastAsia="仿宋" w:cs="仿宋"/>
          <w:i w:val="0"/>
          <w:iCs w:val="0"/>
          <w:caps w:val="0"/>
          <w:color w:val="000000"/>
          <w:spacing w:val="0"/>
          <w:sz w:val="32"/>
          <w:szCs w:val="32"/>
          <w:shd w:val="clear" w:color="auto" w:fill="FFFFFF"/>
          <w:lang w:val="en-US" w:eastAsia="zh-CN"/>
        </w:rPr>
        <w:t>工作。</w:t>
      </w:r>
      <w:r>
        <w:rPr>
          <w:rFonts w:hint="eastAsia" w:ascii="仿宋" w:hAnsi="仿宋" w:eastAsia="仿宋" w:cs="仿宋"/>
          <w:i w:val="0"/>
          <w:iCs w:val="0"/>
          <w:caps w:val="0"/>
          <w:color w:val="000000"/>
          <w:spacing w:val="0"/>
          <w:sz w:val="32"/>
          <w:szCs w:val="32"/>
          <w:shd w:val="clear" w:color="auto" w:fill="FFFFFF"/>
        </w:rPr>
        <w:t>有序完成了全市</w:t>
      </w:r>
      <w:r>
        <w:rPr>
          <w:rFonts w:hint="eastAsia" w:ascii="仿宋" w:hAnsi="仿宋" w:eastAsia="仿宋" w:cs="仿宋"/>
          <w:i w:val="0"/>
          <w:iCs w:val="0"/>
          <w:caps w:val="0"/>
          <w:color w:val="000000"/>
          <w:spacing w:val="0"/>
          <w:sz w:val="32"/>
          <w:szCs w:val="32"/>
          <w:shd w:val="clear" w:color="auto" w:fill="FFFFFF"/>
          <w:lang w:val="en-US" w:eastAsia="zh-CN"/>
        </w:rPr>
        <w:t>32</w:t>
      </w:r>
      <w:r>
        <w:rPr>
          <w:rFonts w:hint="eastAsia" w:ascii="仿宋" w:hAnsi="仿宋" w:eastAsia="仿宋" w:cs="仿宋"/>
          <w:i w:val="0"/>
          <w:iCs w:val="0"/>
          <w:caps w:val="0"/>
          <w:color w:val="000000"/>
          <w:spacing w:val="0"/>
          <w:sz w:val="32"/>
          <w:szCs w:val="32"/>
          <w:shd w:val="clear" w:color="auto" w:fill="FFFFFF"/>
        </w:rPr>
        <w:t>个领域基层政务公开事项202</w:t>
      </w:r>
      <w:r>
        <w:rPr>
          <w:rFonts w:hint="eastAsia" w:ascii="仿宋" w:hAnsi="仿宋" w:eastAsia="仿宋" w:cs="仿宋"/>
          <w:i w:val="0"/>
          <w:iCs w:val="0"/>
          <w:caps w:val="0"/>
          <w:color w:val="000000"/>
          <w:spacing w:val="0"/>
          <w:sz w:val="32"/>
          <w:szCs w:val="32"/>
          <w:shd w:val="clear" w:color="auto" w:fill="FFFFFF"/>
          <w:lang w:val="en-US" w:eastAsia="zh-CN"/>
        </w:rPr>
        <w:t>2</w:t>
      </w:r>
      <w:r>
        <w:rPr>
          <w:rFonts w:hint="eastAsia" w:ascii="仿宋" w:hAnsi="仿宋" w:eastAsia="仿宋" w:cs="仿宋"/>
          <w:i w:val="0"/>
          <w:iCs w:val="0"/>
          <w:caps w:val="0"/>
          <w:color w:val="000000"/>
          <w:spacing w:val="0"/>
          <w:sz w:val="32"/>
          <w:szCs w:val="32"/>
          <w:shd w:val="clear" w:color="auto" w:fill="FFFFFF"/>
        </w:rPr>
        <w:t>版目录，全市基层政务公开线上专栏内容</w:t>
      </w:r>
      <w:r>
        <w:rPr>
          <w:rFonts w:hint="eastAsia" w:ascii="仿宋" w:hAnsi="仿宋" w:eastAsia="仿宋" w:cs="仿宋"/>
          <w:i w:val="0"/>
          <w:iCs w:val="0"/>
          <w:caps w:val="0"/>
          <w:color w:val="000000"/>
          <w:spacing w:val="0"/>
          <w:sz w:val="32"/>
          <w:szCs w:val="32"/>
          <w:shd w:val="clear" w:color="auto" w:fill="FFFFFF"/>
          <w:lang w:val="en-US" w:eastAsia="zh-CN"/>
        </w:rPr>
        <w:t>的</w:t>
      </w:r>
      <w:r>
        <w:rPr>
          <w:rFonts w:hint="eastAsia" w:ascii="仿宋" w:hAnsi="仿宋" w:eastAsia="仿宋" w:cs="仿宋"/>
          <w:i w:val="0"/>
          <w:iCs w:val="0"/>
          <w:caps w:val="0"/>
          <w:color w:val="000000"/>
          <w:spacing w:val="0"/>
          <w:sz w:val="32"/>
          <w:szCs w:val="32"/>
          <w:shd w:val="clear" w:color="auto" w:fill="FFFFFF"/>
        </w:rPr>
        <w:t>实时更新。</w:t>
      </w:r>
      <w:r>
        <w:rPr>
          <w:rFonts w:hint="eastAsia" w:ascii="仿宋" w:hAnsi="仿宋" w:eastAsia="仿宋" w:cs="仿宋"/>
          <w:b/>
          <w:bCs/>
          <w:i w:val="0"/>
          <w:iCs w:val="0"/>
          <w:caps w:val="0"/>
          <w:color w:val="auto"/>
          <w:spacing w:val="0"/>
          <w:sz w:val="32"/>
          <w:szCs w:val="32"/>
          <w:shd w:val="clear" w:color="auto" w:fill="FFFFFF"/>
          <w:lang w:val="en-US" w:eastAsia="zh-CN"/>
        </w:rPr>
        <w:t>四是</w:t>
      </w:r>
      <w:r>
        <w:rPr>
          <w:rFonts w:hint="eastAsia" w:ascii="仿宋" w:hAnsi="仿宋" w:eastAsia="仿宋" w:cs="仿宋"/>
          <w:b w:val="0"/>
          <w:bCs w:val="0"/>
          <w:i w:val="0"/>
          <w:iCs w:val="0"/>
          <w:caps w:val="0"/>
          <w:color w:val="auto"/>
          <w:spacing w:val="0"/>
          <w:sz w:val="32"/>
          <w:szCs w:val="32"/>
          <w:shd w:val="clear" w:color="auto" w:fill="FFFFFF"/>
        </w:rPr>
        <w:t>不断提高政策解读和回应关切质效</w:t>
      </w:r>
      <w:r>
        <w:rPr>
          <w:rFonts w:hint="eastAsia" w:ascii="仿宋" w:hAnsi="仿宋" w:eastAsia="仿宋" w:cs="仿宋"/>
          <w:b w:val="0"/>
          <w:bCs w:val="0"/>
          <w:i w:val="0"/>
          <w:iCs w:val="0"/>
          <w:caps w:val="0"/>
          <w:color w:val="auto"/>
          <w:spacing w:val="0"/>
          <w:sz w:val="32"/>
          <w:szCs w:val="32"/>
          <w:shd w:val="clear" w:color="auto" w:fill="FFFFFF"/>
          <w:lang w:val="en-US" w:eastAsia="zh-CN"/>
        </w:rPr>
        <w:t>。持续丰富市政府门户网站政策解读形式，全年发布文字、图解、视频、音频、媒体报道等多种形式解读132篇，回应公众关注热点或重大舆情3次。同时</w:t>
      </w:r>
      <w:r>
        <w:rPr>
          <w:rStyle w:val="8"/>
          <w:rFonts w:hint="eastAsia" w:ascii="仿宋" w:hAnsi="仿宋" w:eastAsia="仿宋" w:cs="仿宋"/>
          <w:b w:val="0"/>
          <w:i w:val="0"/>
          <w:caps w:val="0"/>
          <w:spacing w:val="0"/>
          <w:w w:val="100"/>
          <w:sz w:val="32"/>
          <w:szCs w:val="32"/>
        </w:rPr>
        <w:t>以“深化政务公开，优化营商环境”为主题，</w:t>
      </w:r>
      <w:r>
        <w:rPr>
          <w:rFonts w:hint="eastAsia" w:ascii="仿宋" w:hAnsi="仿宋" w:eastAsia="仿宋" w:cs="仿宋"/>
          <w:kern w:val="2"/>
          <w:sz w:val="32"/>
          <w:szCs w:val="32"/>
          <w:lang w:val="en-US" w:eastAsia="zh-CN"/>
        </w:rPr>
        <w:t>组织24个部门单位，开展政务公开主题日活动。现场为企业群众宣讲惠民利企政策，受理企业群众诉求，解决企业群众实际问题</w:t>
      </w:r>
      <w:r>
        <w:rPr>
          <w:rStyle w:val="8"/>
          <w:rFonts w:hint="eastAsia" w:ascii="仿宋" w:hAnsi="仿宋" w:eastAsia="仿宋" w:cs="仿宋"/>
          <w:b w:val="0"/>
          <w:i w:val="0"/>
          <w:caps w:val="0"/>
          <w:spacing w:val="0"/>
          <w:w w:val="100"/>
          <w:sz w:val="32"/>
          <w:szCs w:val="32"/>
        </w:rPr>
        <w:t>。</w:t>
      </w:r>
      <w:r>
        <w:rPr>
          <w:rStyle w:val="8"/>
          <w:rFonts w:hint="eastAsia" w:ascii="仿宋" w:hAnsi="仿宋" w:eastAsia="仿宋" w:cs="仿宋"/>
          <w:sz w:val="32"/>
          <w:szCs w:val="32"/>
        </w:rPr>
        <w:t>持续落实《湘乡市12345“暖心”热线方案》,进一步畅通群众反映诉求渠道，完成了全市10条非紧急类政务服务便民热线的归并，开通了政企通专席、人大代表向12345热线反映机制等多种形式，全方位、多渠道进行受理企业和群众诉求。2022年12345热线</w:t>
      </w:r>
      <w:r>
        <w:rPr>
          <w:rStyle w:val="8"/>
          <w:rFonts w:hint="eastAsia" w:ascii="仿宋" w:hAnsi="仿宋" w:eastAsia="仿宋" w:cs="仿宋"/>
          <w:sz w:val="32"/>
          <w:szCs w:val="32"/>
          <w:lang w:val="en-US"/>
        </w:rPr>
        <w:t>平台</w:t>
      </w:r>
      <w:r>
        <w:rPr>
          <w:rStyle w:val="8"/>
          <w:rFonts w:hint="eastAsia" w:ascii="仿宋" w:hAnsi="仿宋" w:eastAsia="仿宋" w:cs="仿宋"/>
          <w:sz w:val="32"/>
          <w:szCs w:val="32"/>
        </w:rPr>
        <w:t>接到群众诉求75046件次，接通率为90.07%，按时办结率为99.83%，回访率为99.99%，回访满意率为80.65%。</w:t>
      </w:r>
      <w:r>
        <w:rPr>
          <w:rFonts w:hint="eastAsia" w:ascii="仿宋" w:hAnsi="仿宋" w:eastAsia="仿宋" w:cs="仿宋"/>
          <w:kern w:val="2"/>
          <w:sz w:val="32"/>
          <w:szCs w:val="32"/>
          <w:lang w:val="en-US" w:eastAsia="zh-CN" w:bidi="ar-SA"/>
        </w:rPr>
        <w:t>收到“省长信箱”及中国政府网、国家政务服务平台等群众来信共计16件，均已得到答复，无</w:t>
      </w:r>
      <w:r>
        <w:rPr>
          <w:rStyle w:val="8"/>
          <w:rFonts w:hint="eastAsia" w:ascii="仿宋" w:hAnsi="仿宋" w:eastAsia="仿宋" w:cs="仿宋"/>
          <w:sz w:val="32"/>
          <w:szCs w:val="32"/>
        </w:rPr>
        <w:t>超期及回访不满意。</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 w:hAnsi="仿宋" w:eastAsia="仿宋" w:cs="仿宋"/>
          <w:sz w:val="32"/>
          <w:szCs w:val="32"/>
          <w:lang w:val="en-US"/>
        </w:rPr>
      </w:pPr>
      <w:r>
        <w:rPr>
          <w:rFonts w:hint="eastAsia" w:ascii="楷体" w:hAnsi="楷体" w:eastAsia="楷体" w:cs="楷体"/>
          <w:b/>
          <w:bCs/>
          <w:sz w:val="32"/>
          <w:szCs w:val="32"/>
          <w:lang w:eastAsia="zh-CN" w:bidi="ar-SA"/>
        </w:rPr>
        <w:t>（</w:t>
      </w:r>
      <w:r>
        <w:rPr>
          <w:rFonts w:hint="eastAsia" w:ascii="楷体" w:hAnsi="楷体" w:eastAsia="楷体" w:cs="楷体"/>
          <w:b/>
          <w:bCs/>
          <w:sz w:val="32"/>
          <w:szCs w:val="32"/>
          <w:lang w:val="en-US" w:eastAsia="zh-CN" w:bidi="ar-SA"/>
        </w:rPr>
        <w:t>二</w:t>
      </w:r>
      <w:r>
        <w:rPr>
          <w:rFonts w:hint="eastAsia" w:ascii="楷体" w:hAnsi="楷体" w:eastAsia="楷体" w:cs="楷体"/>
          <w:b/>
          <w:bCs/>
          <w:sz w:val="32"/>
          <w:szCs w:val="32"/>
          <w:lang w:eastAsia="zh-CN" w:bidi="ar-SA"/>
        </w:rPr>
        <w:t>）依申请公开</w:t>
      </w:r>
      <w:r>
        <w:rPr>
          <w:rFonts w:hint="eastAsia" w:ascii="楷体" w:hAnsi="楷体" w:eastAsia="楷体" w:cs="楷体"/>
          <w:b/>
          <w:bCs/>
          <w:sz w:val="32"/>
          <w:szCs w:val="32"/>
          <w:lang w:val="en-US" w:eastAsia="zh-CN" w:bidi="ar-SA"/>
        </w:rPr>
        <w:t>情况。</w:t>
      </w:r>
      <w:r>
        <w:rPr>
          <w:rFonts w:hint="eastAsia" w:ascii="仿宋" w:hAnsi="仿宋" w:eastAsia="仿宋" w:cs="仿宋"/>
          <w:kern w:val="2"/>
          <w:sz w:val="32"/>
          <w:szCs w:val="32"/>
          <w:lang w:val="en-US" w:eastAsia="zh-CN" w:bidi="ar-SA"/>
        </w:rPr>
        <w:t>进一步健全了依申请公开内部流程机制，完善了依申请公开制度、办理流程图，规范办理流程，保障申请人权利。2022年共受理依申请公开65件（线上45件，线下20件），其中自然人提交57件，法人或其他组织提交8件，均已办理完结。全年市政府无信息公开类行政复议和诉讼，各部门信息公开类行政复议案件1件，信息公开类行政诉讼案件4件。</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 w:hAnsi="仿宋" w:eastAsia="仿宋" w:cs="仿宋"/>
          <w:b/>
          <w:bCs/>
          <w:sz w:val="32"/>
          <w:szCs w:val="32"/>
          <w:lang w:val="en-US" w:eastAsia="zh-CN" w:bidi="ar-SA"/>
        </w:rPr>
      </w:pPr>
      <w:r>
        <w:rPr>
          <w:rFonts w:hint="eastAsia" w:ascii="楷体" w:hAnsi="楷体" w:eastAsia="楷体" w:cs="楷体"/>
          <w:b/>
          <w:bCs/>
          <w:sz w:val="32"/>
          <w:szCs w:val="32"/>
          <w:lang w:eastAsia="zh-CN" w:bidi="ar-SA"/>
        </w:rPr>
        <w:t>（</w:t>
      </w:r>
      <w:r>
        <w:rPr>
          <w:rFonts w:hint="eastAsia" w:ascii="楷体" w:hAnsi="楷体" w:eastAsia="楷体" w:cs="楷体"/>
          <w:b/>
          <w:bCs/>
          <w:sz w:val="32"/>
          <w:szCs w:val="32"/>
          <w:lang w:val="en-US" w:eastAsia="zh-CN" w:bidi="ar-SA"/>
        </w:rPr>
        <w:t>三</w:t>
      </w:r>
      <w:r>
        <w:rPr>
          <w:rFonts w:hint="eastAsia" w:ascii="楷体" w:hAnsi="楷体" w:eastAsia="楷体" w:cs="楷体"/>
          <w:b/>
          <w:bCs/>
          <w:sz w:val="32"/>
          <w:szCs w:val="32"/>
          <w:lang w:eastAsia="zh-CN" w:bidi="ar-SA"/>
        </w:rPr>
        <w:t>）政府信息管理</w:t>
      </w:r>
      <w:r>
        <w:rPr>
          <w:rFonts w:hint="eastAsia" w:ascii="楷体" w:hAnsi="楷体" w:eastAsia="楷体" w:cs="楷体"/>
          <w:b/>
          <w:bCs/>
          <w:sz w:val="32"/>
          <w:szCs w:val="32"/>
          <w:lang w:val="en-US" w:eastAsia="zh-CN" w:bidi="ar-SA"/>
        </w:rPr>
        <w:t>情况。</w:t>
      </w:r>
      <w:r>
        <w:rPr>
          <w:rFonts w:hint="eastAsia" w:ascii="仿宋" w:hAnsi="仿宋" w:eastAsia="仿宋" w:cs="仿宋"/>
          <w:kern w:val="2"/>
          <w:sz w:val="32"/>
          <w:szCs w:val="32"/>
          <w:lang w:val="en-US" w:eastAsia="zh-CN" w:bidi="ar-SA"/>
        </w:rPr>
        <w:t>严格政府信息管理，强化组织领导，明确工作责任，严格执行信息公开保密审查制度、责任追究制度，并要求全市严格按照“三审”要求对稿件进行审核发布。2022年网站信息发布10814条，其中概况类政府信息公开662条，政务动态信息4304条，信息公开目录信息更新量5848条。</w:t>
      </w:r>
    </w:p>
    <w:p>
      <w:pPr>
        <w:keepNext w:val="0"/>
        <w:keepLines w:val="0"/>
        <w:pageBreakBefore w:val="0"/>
        <w:kinsoku/>
        <w:wordWrap/>
        <w:overflowPunct/>
        <w:topLinePunct w:val="0"/>
        <w:autoSpaceDE/>
        <w:autoSpaceDN/>
        <w:bidi w:val="0"/>
        <w:spacing w:line="556" w:lineRule="exact"/>
        <w:ind w:firstLine="643" w:firstLineChars="200"/>
        <w:rPr>
          <w:rFonts w:hint="eastAsia" w:ascii="仿宋" w:hAnsi="仿宋" w:eastAsia="仿宋" w:cs="仿宋"/>
          <w:sz w:val="32"/>
          <w:szCs w:val="32"/>
          <w:lang w:val="en-US" w:eastAsia="zh-CN"/>
        </w:rPr>
      </w:pPr>
      <w:r>
        <w:rPr>
          <w:rFonts w:hint="eastAsia" w:ascii="楷体" w:hAnsi="楷体" w:eastAsia="楷体" w:cs="楷体"/>
          <w:b/>
          <w:bCs/>
          <w:sz w:val="32"/>
          <w:szCs w:val="32"/>
          <w:lang w:eastAsia="zh-CN" w:bidi="ar-SA"/>
        </w:rPr>
        <w:t>（</w:t>
      </w:r>
      <w:r>
        <w:rPr>
          <w:rFonts w:hint="eastAsia" w:ascii="楷体" w:hAnsi="楷体" w:eastAsia="楷体" w:cs="楷体"/>
          <w:b/>
          <w:bCs/>
          <w:sz w:val="32"/>
          <w:szCs w:val="32"/>
          <w:lang w:val="en-US" w:eastAsia="zh-CN" w:bidi="ar-SA"/>
        </w:rPr>
        <w:t>四</w:t>
      </w:r>
      <w:r>
        <w:rPr>
          <w:rFonts w:hint="eastAsia" w:ascii="楷体" w:hAnsi="楷体" w:eastAsia="楷体" w:cs="楷体"/>
          <w:b/>
          <w:bCs/>
          <w:sz w:val="32"/>
          <w:szCs w:val="32"/>
          <w:lang w:eastAsia="zh-CN" w:bidi="ar-SA"/>
        </w:rPr>
        <w:t>）政府信息公开平台建设</w:t>
      </w:r>
      <w:r>
        <w:rPr>
          <w:rFonts w:hint="eastAsia" w:ascii="楷体" w:hAnsi="楷体" w:eastAsia="楷体" w:cs="楷体"/>
          <w:b/>
          <w:bCs/>
          <w:sz w:val="32"/>
          <w:szCs w:val="32"/>
          <w:lang w:val="en-US" w:eastAsia="zh-CN" w:bidi="ar-SA"/>
        </w:rPr>
        <w:t>情况</w:t>
      </w:r>
      <w:r>
        <w:rPr>
          <w:rFonts w:hint="eastAsia" w:ascii="楷体" w:hAnsi="楷体" w:eastAsia="楷体" w:cs="楷体"/>
          <w:b/>
          <w:bCs/>
          <w:sz w:val="32"/>
          <w:szCs w:val="32"/>
          <w:lang w:eastAsia="zh-CN" w:bidi="ar-SA"/>
        </w:rPr>
        <w:t>。</w:t>
      </w:r>
      <w:r>
        <w:rPr>
          <w:rFonts w:hint="eastAsia" w:ascii="仿宋" w:hAnsi="仿宋" w:eastAsia="仿宋" w:cs="仿宋"/>
          <w:b/>
          <w:bCs/>
          <w:sz w:val="32"/>
          <w:szCs w:val="32"/>
          <w:lang w:val="en-US" w:eastAsia="zh-CN"/>
        </w:rPr>
        <w:t>一是</w:t>
      </w:r>
      <w:r>
        <w:rPr>
          <w:rFonts w:hint="eastAsia" w:ascii="仿宋" w:hAnsi="仿宋" w:eastAsia="仿宋" w:cs="仿宋"/>
          <w:b w:val="0"/>
          <w:bCs w:val="0"/>
          <w:sz w:val="32"/>
          <w:szCs w:val="32"/>
        </w:rPr>
        <w:t>政府门户网站</w:t>
      </w:r>
      <w:r>
        <w:rPr>
          <w:rFonts w:hint="eastAsia" w:ascii="仿宋" w:hAnsi="仿宋" w:eastAsia="仿宋" w:cs="仿宋"/>
          <w:b w:val="0"/>
          <w:bCs w:val="0"/>
          <w:sz w:val="32"/>
          <w:szCs w:val="32"/>
          <w:lang w:val="en-US" w:eastAsia="zh-CN"/>
        </w:rPr>
        <w:t>方面</w:t>
      </w:r>
      <w:r>
        <w:rPr>
          <w:rFonts w:hint="eastAsia" w:ascii="仿宋" w:hAnsi="仿宋" w:eastAsia="仿宋" w:cs="仿宋"/>
          <w:b w:val="0"/>
          <w:bCs w:val="0"/>
          <w:sz w:val="32"/>
          <w:szCs w:val="32"/>
          <w:lang w:eastAsia="zh-CN"/>
        </w:rPr>
        <w:t>。</w:t>
      </w:r>
      <w:r>
        <w:rPr>
          <w:rFonts w:hint="eastAsia" w:ascii="仿宋" w:hAnsi="仿宋" w:eastAsia="仿宋" w:cs="仿宋"/>
          <w:kern w:val="2"/>
          <w:sz w:val="32"/>
          <w:szCs w:val="32"/>
          <w:lang w:val="en-US" w:eastAsia="zh-CN" w:bidi="ar-SA"/>
        </w:rPr>
        <w:t>充分发挥湘乡市政府门户网站作为政府信息公开第一平台作用，扎实做好信息公开专栏建设和管理维护。不断优化信息栏目和页面显示效果。完善法定主动公开内容栏目设置，做好信息公开专栏重点领域模块的对应调整。</w:t>
      </w:r>
      <w:r>
        <w:rPr>
          <w:rFonts w:hint="eastAsia" w:ascii="仿宋" w:hAnsi="仿宋" w:eastAsia="仿宋" w:cs="仿宋"/>
          <w:b/>
          <w:bCs/>
          <w:kern w:val="2"/>
          <w:sz w:val="32"/>
          <w:szCs w:val="32"/>
          <w:lang w:val="en-US" w:eastAsia="zh-CN" w:bidi="ar-SA"/>
        </w:rPr>
        <w:t>二是</w:t>
      </w:r>
      <w:r>
        <w:rPr>
          <w:rFonts w:hint="eastAsia" w:ascii="仿宋" w:hAnsi="仿宋" w:eastAsia="仿宋" w:cs="仿宋"/>
          <w:b w:val="0"/>
          <w:bCs w:val="0"/>
          <w:kern w:val="2"/>
          <w:sz w:val="32"/>
          <w:szCs w:val="32"/>
          <w:lang w:val="en-US" w:eastAsia="zh-CN" w:bidi="ar-SA"/>
        </w:rPr>
        <w:t>政务新媒体方面。</w:t>
      </w:r>
      <w:r>
        <w:rPr>
          <w:rFonts w:hint="eastAsia" w:ascii="仿宋" w:hAnsi="仿宋" w:eastAsia="仿宋" w:cs="仿宋"/>
          <w:kern w:val="2"/>
          <w:sz w:val="32"/>
          <w:szCs w:val="32"/>
          <w:lang w:val="en-US" w:eastAsia="zh-CN" w:bidi="ar-SA"/>
        </w:rPr>
        <w:t>通过“湘乡微政务”微信公众号、及时发布重要政策、重大举措、办事指南、便民服务等信息。</w:t>
      </w:r>
      <w:r>
        <w:rPr>
          <w:rFonts w:hint="eastAsia" w:ascii="仿宋" w:hAnsi="仿宋" w:eastAsia="仿宋" w:cs="仿宋"/>
          <w:b/>
          <w:bCs/>
          <w:kern w:val="2"/>
          <w:sz w:val="32"/>
          <w:szCs w:val="32"/>
          <w:lang w:val="en-US" w:eastAsia="zh-CN" w:bidi="ar-SA"/>
        </w:rPr>
        <w:t>三是</w:t>
      </w:r>
      <w:r>
        <w:rPr>
          <w:rFonts w:hint="eastAsia" w:ascii="仿宋" w:hAnsi="仿宋" w:eastAsia="仿宋" w:cs="仿宋"/>
          <w:b w:val="0"/>
          <w:bCs w:val="0"/>
          <w:kern w:val="2"/>
          <w:sz w:val="32"/>
          <w:szCs w:val="32"/>
          <w:lang w:val="en-US" w:eastAsia="zh-CN" w:bidi="ar-SA"/>
        </w:rPr>
        <w:t>线下公开渠道。</w:t>
      </w:r>
      <w:r>
        <w:rPr>
          <w:rFonts w:hint="eastAsia" w:ascii="仿宋" w:hAnsi="仿宋" w:eastAsia="仿宋" w:cs="仿宋"/>
          <w:b w:val="0"/>
          <w:bCs w:val="0"/>
          <w:i w:val="0"/>
          <w:iCs w:val="0"/>
          <w:caps w:val="0"/>
          <w:color w:val="auto"/>
          <w:spacing w:val="0"/>
          <w:sz w:val="32"/>
          <w:szCs w:val="32"/>
          <w:shd w:val="clear" w:color="auto" w:fill="FFFFFF"/>
          <w:lang w:val="en-US" w:eastAsia="zh-CN"/>
        </w:rPr>
        <w:t>不断完善县乡两级政务公开专区建设，规范上墙公开，制作印刷湘乡市政府信息公开服务指南和政务公开宣传手册，方便群众获取政府信息。同时为打通基层治理“最后一公里”，赋能乡村振兴，探索打造了政</w:t>
      </w:r>
      <w:r>
        <w:rPr>
          <w:rFonts w:hint="eastAsia" w:ascii="仿宋" w:hAnsi="仿宋" w:eastAsia="仿宋" w:cs="仿宋"/>
          <w:sz w:val="32"/>
          <w:szCs w:val="32"/>
          <w:lang w:val="en-US" w:eastAsia="zh-CN"/>
        </w:rPr>
        <w:t>务公开“样板”村泉塘村。</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 w:hAnsi="仿宋" w:eastAsia="仿宋" w:cs="仿宋"/>
          <w:b/>
          <w:bCs/>
          <w:sz w:val="32"/>
          <w:szCs w:val="32"/>
          <w:lang w:val="en-US"/>
        </w:rPr>
      </w:pPr>
      <w:r>
        <w:rPr>
          <w:rFonts w:hint="eastAsia" w:ascii="楷体" w:hAnsi="楷体" w:eastAsia="楷体" w:cs="楷体"/>
          <w:b/>
          <w:bCs/>
          <w:sz w:val="32"/>
          <w:szCs w:val="32"/>
          <w:lang w:eastAsia="zh-CN" w:bidi="ar-SA"/>
        </w:rPr>
        <w:t>（</w:t>
      </w:r>
      <w:r>
        <w:rPr>
          <w:rFonts w:hint="eastAsia" w:ascii="楷体" w:hAnsi="楷体" w:eastAsia="楷体" w:cs="楷体"/>
          <w:b/>
          <w:bCs/>
          <w:sz w:val="32"/>
          <w:szCs w:val="32"/>
          <w:lang w:val="en-US" w:eastAsia="zh-CN" w:bidi="ar-SA"/>
        </w:rPr>
        <w:t>五</w:t>
      </w:r>
      <w:r>
        <w:rPr>
          <w:rFonts w:hint="eastAsia" w:ascii="楷体" w:hAnsi="楷体" w:eastAsia="楷体" w:cs="楷体"/>
          <w:b/>
          <w:bCs/>
          <w:sz w:val="32"/>
          <w:szCs w:val="32"/>
          <w:lang w:eastAsia="zh-CN" w:bidi="ar-SA"/>
        </w:rPr>
        <w:t>）监督保障</w:t>
      </w:r>
      <w:r>
        <w:rPr>
          <w:rFonts w:hint="eastAsia" w:ascii="楷体" w:hAnsi="楷体" w:eastAsia="楷体" w:cs="楷体"/>
          <w:b/>
          <w:bCs/>
          <w:sz w:val="32"/>
          <w:szCs w:val="32"/>
          <w:lang w:val="en-US" w:eastAsia="zh-CN" w:bidi="ar-SA"/>
        </w:rPr>
        <w:t>情况。</w:t>
      </w:r>
      <w:r>
        <w:rPr>
          <w:rFonts w:hint="eastAsia" w:ascii="仿宋" w:hAnsi="仿宋" w:eastAsia="仿宋" w:cs="仿宋"/>
          <w:b/>
          <w:bCs/>
          <w:i w:val="0"/>
          <w:iCs w:val="0"/>
          <w:caps w:val="0"/>
          <w:color w:val="auto"/>
          <w:spacing w:val="0"/>
          <w:kern w:val="2"/>
          <w:sz w:val="32"/>
          <w:szCs w:val="32"/>
          <w:shd w:val="clear" w:color="auto" w:fill="FFFFFF"/>
          <w:lang w:val="en-US" w:eastAsia="zh-CN" w:bidi="ar-SA"/>
        </w:rPr>
        <w:t>一是</w:t>
      </w:r>
      <w:r>
        <w:rPr>
          <w:rFonts w:hint="eastAsia" w:ascii="仿宋" w:hAnsi="仿宋" w:eastAsia="仿宋" w:cs="仿宋"/>
          <w:b w:val="0"/>
          <w:bCs w:val="0"/>
          <w:i w:val="0"/>
          <w:iCs w:val="0"/>
          <w:caps w:val="0"/>
          <w:color w:val="auto"/>
          <w:spacing w:val="0"/>
          <w:kern w:val="2"/>
          <w:sz w:val="32"/>
          <w:szCs w:val="32"/>
          <w:shd w:val="clear" w:color="auto" w:fill="FFFFFF"/>
          <w:lang w:val="en-US" w:eastAsia="zh-CN" w:bidi="ar-SA"/>
        </w:rPr>
        <w:t>建立由政府市长任组长，部门一把手为成员的湘乡市政务公开政务服务领导小组，定期研究、统筹协调政务公开重要事项，强力推进政务公开。将政务公开工作纳入全市年终绩效考核，并</w:t>
      </w:r>
      <w:r>
        <w:rPr>
          <w:rStyle w:val="8"/>
          <w:rFonts w:hint="eastAsia" w:ascii="仿宋" w:hAnsi="仿宋" w:eastAsia="仿宋" w:cs="仿宋"/>
          <w:sz w:val="32"/>
          <w:szCs w:val="32"/>
        </w:rPr>
        <w:t>持续对政府网站和政务新媒体开展日常监测、季度检查和年度考评，确保健康平稳安全运行。</w:t>
      </w:r>
      <w:r>
        <w:rPr>
          <w:rStyle w:val="8"/>
          <w:rFonts w:hint="eastAsia" w:ascii="仿宋" w:hAnsi="仿宋" w:eastAsia="仿宋" w:cs="仿宋"/>
          <w:b/>
          <w:bCs/>
          <w:sz w:val="32"/>
          <w:szCs w:val="32"/>
          <w:lang w:val="en-US"/>
        </w:rPr>
        <w:t>二是</w:t>
      </w:r>
      <w:r>
        <w:rPr>
          <w:rStyle w:val="8"/>
          <w:rFonts w:hint="eastAsia" w:ascii="仿宋" w:hAnsi="仿宋" w:eastAsia="仿宋" w:cs="仿宋"/>
          <w:sz w:val="32"/>
          <w:szCs w:val="32"/>
          <w:lang w:val="en-US"/>
        </w:rPr>
        <w:t>积极</w:t>
      </w:r>
      <w:r>
        <w:rPr>
          <w:rFonts w:hint="eastAsia" w:ascii="仿宋" w:hAnsi="仿宋" w:eastAsia="仿宋" w:cs="仿宋"/>
          <w:b w:val="0"/>
          <w:bCs w:val="0"/>
          <w:i w:val="0"/>
          <w:iCs w:val="0"/>
          <w:caps w:val="0"/>
          <w:color w:val="auto"/>
          <w:spacing w:val="0"/>
          <w:kern w:val="2"/>
          <w:sz w:val="32"/>
          <w:szCs w:val="32"/>
          <w:shd w:val="clear" w:color="auto" w:fill="FFFFFF"/>
          <w:lang w:val="en-US" w:eastAsia="zh-CN" w:bidi="ar-SA"/>
        </w:rPr>
        <w:t>组织开展专题培训，加强业务</w:t>
      </w:r>
      <w:r>
        <w:rPr>
          <w:rStyle w:val="8"/>
          <w:rFonts w:hint="eastAsia" w:ascii="仿宋" w:hAnsi="仿宋" w:eastAsia="仿宋" w:cs="仿宋"/>
          <w:sz w:val="32"/>
          <w:szCs w:val="32"/>
        </w:rPr>
        <w:t>指导。</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二、主动公开政府信息情况</w:t>
      </w:r>
    </w:p>
    <w:tbl>
      <w:tblPr>
        <w:tblStyle w:val="5"/>
        <w:tblW w:w="9064" w:type="dxa"/>
        <w:jc w:val="center"/>
        <w:tblLayout w:type="fixed"/>
        <w:tblCellMar>
          <w:top w:w="0" w:type="dxa"/>
          <w:left w:w="0" w:type="dxa"/>
          <w:bottom w:w="0" w:type="dxa"/>
          <w:right w:w="0" w:type="dxa"/>
        </w:tblCellMar>
      </w:tblPr>
      <w:tblGrid>
        <w:gridCol w:w="3113"/>
        <w:gridCol w:w="1881"/>
        <w:gridCol w:w="1979"/>
        <w:gridCol w:w="2091"/>
      </w:tblGrid>
      <w:tr>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第二十条第（一）项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本年制发件数</w:t>
            </w:r>
          </w:p>
        </w:tc>
        <w:tc>
          <w:tcPr>
            <w:tcW w:w="1979"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本年废止件数</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现行有效件数</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c>
          <w:tcPr>
            <w:tcW w:w="1979"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val="en-US" w:eastAsia="zh-CN"/>
              </w:rPr>
              <w:t>行政</w:t>
            </w:r>
            <w:r>
              <w:rPr>
                <w:rFonts w:hint="eastAsia" w:ascii="宋体" w:cs="宋体"/>
                <w:color w:val="000000"/>
                <w:kern w:val="0"/>
                <w:sz w:val="21"/>
                <w:szCs w:val="21"/>
              </w:rPr>
              <w:t>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15</w:t>
            </w:r>
          </w:p>
        </w:tc>
        <w:tc>
          <w:tcPr>
            <w:tcW w:w="1979"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3</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75</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第二十条第（五）项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行政许可</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71902</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第二十条第（六）项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行政处罚</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74573</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行政强制</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11355</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第二十条第（八）项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信息内容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rPr>
              <w:t>本年收费金额（单位：万元）</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行政事业性收费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sz w:val="21"/>
                <w:szCs w:val="21"/>
                <w:lang w:val="en-US" w:eastAsia="zh-CN"/>
              </w:rPr>
              <w:t>2534.46</w:t>
            </w:r>
          </w:p>
        </w:tc>
      </w:tr>
    </w:tbl>
    <w:p>
      <w:pPr>
        <w:pStyle w:val="4"/>
        <w:widowControl/>
        <w:spacing w:before="0" w:beforeAutospacing="0" w:after="240" w:afterAutospacing="0"/>
        <w:ind w:firstLine="640" w:firstLineChars="200"/>
        <w:jc w:val="both"/>
        <w:rPr>
          <w:rFonts w:hint="eastAsia" w:ascii="黑体" w:hAnsi="黑体" w:eastAsia="黑体" w:cs="黑体"/>
          <w:b w:val="0"/>
          <w:bCs/>
          <w:sz w:val="32"/>
          <w:szCs w:val="32"/>
          <w:lang w:bidi="ar-SA"/>
        </w:rPr>
      </w:pPr>
    </w:p>
    <w:p>
      <w:pPr>
        <w:pStyle w:val="4"/>
        <w:widowControl/>
        <w:spacing w:before="0" w:beforeAutospacing="0" w:after="240" w:afterAutospacing="0"/>
        <w:ind w:firstLine="640" w:firstLineChars="200"/>
        <w:jc w:val="both"/>
        <w:rPr>
          <w:rFonts w:hint="eastAsia" w:ascii="黑体" w:hAnsi="黑体" w:eastAsia="黑体" w:cs="黑体"/>
          <w:b w:val="0"/>
          <w:bCs/>
          <w:sz w:val="32"/>
          <w:szCs w:val="32"/>
          <w:lang w:bidi="ar-SA"/>
        </w:rPr>
      </w:pPr>
    </w:p>
    <w:p>
      <w:pPr>
        <w:pStyle w:val="4"/>
        <w:widowControl/>
        <w:spacing w:before="0" w:beforeAutospacing="0" w:after="240" w:afterAutospacing="0"/>
        <w:jc w:val="both"/>
        <w:rPr>
          <w:rFonts w:hint="eastAsia" w:ascii="黑体" w:hAnsi="黑体" w:eastAsia="黑体" w:cs="黑体"/>
          <w:b w:val="0"/>
          <w:bCs/>
          <w:sz w:val="32"/>
          <w:szCs w:val="32"/>
          <w:lang w:bidi="ar-SA"/>
        </w:rPr>
      </w:pPr>
    </w:p>
    <w:p>
      <w:pPr>
        <w:pStyle w:val="4"/>
        <w:widowControl/>
        <w:spacing w:before="0" w:beforeAutospacing="0" w:after="240" w:afterAutospacing="0"/>
        <w:ind w:firstLine="640" w:firstLineChars="200"/>
        <w:jc w:val="both"/>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三、</w:t>
      </w:r>
      <w:r>
        <w:rPr>
          <w:rFonts w:hint="eastAsia" w:ascii="黑体" w:hAnsi="黑体" w:eastAsia="黑体" w:cs="黑体"/>
          <w:b w:val="0"/>
          <w:bCs/>
          <w:i w:val="0"/>
          <w:iCs w:val="0"/>
          <w:caps w:val="0"/>
          <w:color w:val="333333"/>
          <w:spacing w:val="0"/>
          <w:sz w:val="32"/>
          <w:szCs w:val="32"/>
          <w:shd w:val="clear" w:color="auto" w:fill="FFFFFF"/>
        </w:rPr>
        <w:t>收到和处理政府信息公开申请情况</w:t>
      </w:r>
    </w:p>
    <w:tbl>
      <w:tblPr>
        <w:tblStyle w:val="5"/>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rPr>
              <w:t>自然人</w:t>
            </w:r>
          </w:p>
        </w:tc>
        <w:tc>
          <w:tcPr>
            <w:tcW w:w="3641"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rPr>
              <w:t>法人或其他组织</w:t>
            </w:r>
          </w:p>
        </w:tc>
        <w:tc>
          <w:tcPr>
            <w:tcW w:w="750"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rPr>
              <w:t>商业企业</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rPr>
              <w:t>科研机构</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rPr>
              <w:t>社会公益组织</w:t>
            </w:r>
          </w:p>
        </w:tc>
        <w:tc>
          <w:tcPr>
            <w:tcW w:w="66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rPr>
              <w:t>法律服务机构</w:t>
            </w:r>
          </w:p>
        </w:tc>
        <w:tc>
          <w:tcPr>
            <w:tcW w:w="735"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rPr>
              <w:t>其他</w:t>
            </w:r>
          </w:p>
        </w:tc>
        <w:tc>
          <w:tcPr>
            <w:tcW w:w="750"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一、本年新收政府信息公开申请数量</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57</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二、上年结转政府信息公开申请数量</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rPr>
              <w:t>三、本年度办理结果</w:t>
            </w:r>
          </w:p>
        </w:tc>
        <w:tc>
          <w:tcPr>
            <w:tcW w:w="3853" w:type="dxa"/>
            <w:gridSpan w:val="2"/>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（一）予以公开</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rPr>
              <w:t>（二）部分公开</w:t>
            </w:r>
            <w:r>
              <w:rPr>
                <w:rFonts w:hint="eastAsia" w:ascii="楷体" w:hAnsi="楷体" w:eastAsia="楷体" w:cs="楷体"/>
                <w:kern w:val="0"/>
                <w:sz w:val="21"/>
                <w:szCs w:val="21"/>
              </w:rPr>
              <w:t>（区分处理的，只计这一情形，不计其他情形）</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0 </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 xml:space="preserve">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（三）不予公开</w:t>
            </w: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1.属于国家秘密</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2.其他法律行政法规禁止公开</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3.危及“三安全一稳定”</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4.保护第三方合法权益</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5.属于三类内部事务信息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6.属于四类过程性信息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7.属于行政执法案卷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8.属于行政查询事项</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（四）无法提供</w:t>
            </w: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1.本机关不掌握相关政府信息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15</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2.没有现成信息需要另行制作</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3.补正后申请内容仍不明确</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（五）不予处理</w:t>
            </w: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1.信访举报投诉类申请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2.重复申请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3.要求提供公开出版物</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4.无正当理由大量反复申请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rPr>
              <w:t>5.要求行政机关确认或重新出具已获取信息</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right w:val="single" w:color="auto" w:sz="8" w:space="0"/>
            </w:tcBorders>
            <w:tcMar>
              <w:left w:w="108" w:type="dxa"/>
              <w:right w:w="108" w:type="dxa"/>
            </w:tcMar>
            <w:vAlign w:val="center"/>
          </w:tcPr>
          <w:p>
            <w:pPr>
              <w:rPr>
                <w:rFonts w:hint="eastAsia" w:ascii="宋体" w:hAnsi="宋体" w:eastAsia="宋体" w:cs="宋体"/>
                <w:sz w:val="21"/>
                <w:szCs w:val="21"/>
              </w:rPr>
            </w:pPr>
            <w:r>
              <w:rPr>
                <w:rFonts w:hint="eastAsia" w:ascii="宋体" w:hAnsi="宋体" w:eastAsia="宋体" w:cs="宋体"/>
                <w:kern w:val="0"/>
                <w:sz w:val="21"/>
                <w:szCs w:val="21"/>
              </w:rPr>
              <w:t>（</w:t>
            </w:r>
            <w:r>
              <w:rPr>
                <w:rFonts w:hint="eastAsia" w:ascii="宋体" w:hAnsi="宋体" w:cs="宋体"/>
                <w:kern w:val="0"/>
                <w:sz w:val="21"/>
                <w:szCs w:val="21"/>
                <w:lang w:val="en-US" w:eastAsia="zh-CN"/>
              </w:rPr>
              <w:t>六</w:t>
            </w:r>
            <w:r>
              <w:rPr>
                <w:rFonts w:hint="eastAsia" w:ascii="宋体" w:hAnsi="宋体" w:eastAsia="宋体" w:cs="宋体"/>
                <w:kern w:val="0"/>
                <w:sz w:val="21"/>
                <w:szCs w:val="21"/>
              </w:rPr>
              <w:t>）</w:t>
            </w:r>
            <w:r>
              <w:rPr>
                <w:rFonts w:hint="eastAsia" w:ascii="宋体" w:hAnsi="宋体" w:cs="宋体"/>
                <w:kern w:val="0"/>
                <w:sz w:val="21"/>
                <w:szCs w:val="21"/>
                <w:lang w:val="en-US" w:eastAsia="zh-CN"/>
              </w:rPr>
              <w:t>其他</w:t>
            </w:r>
            <w:r>
              <w:rPr>
                <w:rFonts w:hint="eastAsia" w:ascii="宋体" w:hAnsi="宋体" w:eastAsia="宋体" w:cs="宋体"/>
                <w:kern w:val="0"/>
                <w:sz w:val="21"/>
                <w:szCs w:val="21"/>
              </w:rPr>
              <w:t>处理</w:t>
            </w:r>
          </w:p>
        </w:tc>
        <w:tc>
          <w:tcPr>
            <w:tcW w:w="299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1.申请人无正当理由逾期不补正、行政机关不再处理其政府信息公开申请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right w:val="single" w:color="auto" w:sz="8" w:space="0"/>
            </w:tcBorders>
            <w:tcMar>
              <w:left w:w="108" w:type="dxa"/>
              <w:right w:w="108" w:type="dxa"/>
            </w:tcMar>
            <w:vAlign w:val="center"/>
          </w:tcPr>
          <w:p>
            <w:pPr>
              <w:rPr>
                <w:rFonts w:hint="eastAsia" w:ascii="宋体" w:hAnsi="宋体" w:eastAsia="宋体" w:cs="宋体"/>
                <w:kern w:val="0"/>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kern w:val="0"/>
                <w:sz w:val="21"/>
                <w:szCs w:val="21"/>
              </w:rPr>
            </w:pPr>
            <w:r>
              <w:rPr>
                <w:rFonts w:hint="eastAsia" w:ascii="宋体" w:hAnsi="宋体" w:eastAsia="宋体" w:cs="宋体"/>
                <w:kern w:val="0"/>
                <w:sz w:val="21"/>
                <w:szCs w:val="21"/>
              </w:rPr>
              <w:t>3.其他</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（七）总计</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57</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rPr>
              <w:t>四、结转下年度继续办理</w:t>
            </w:r>
          </w:p>
        </w:tc>
        <w:tc>
          <w:tcPr>
            <w:tcW w:w="55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0</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四、</w:t>
      </w:r>
      <w:r>
        <w:rPr>
          <w:rFonts w:hint="eastAsia" w:ascii="黑体" w:hAnsi="黑体" w:eastAsia="黑体" w:cs="黑体"/>
          <w:b w:val="0"/>
          <w:bCs/>
          <w:i w:val="0"/>
          <w:iCs w:val="0"/>
          <w:caps w:val="0"/>
          <w:color w:val="333333"/>
          <w:spacing w:val="0"/>
          <w:sz w:val="32"/>
          <w:szCs w:val="32"/>
          <w:shd w:val="clear" w:color="auto" w:fill="FFFFFF"/>
        </w:rPr>
        <w:t>政府信息公开行政复议、行政诉讼情况</w:t>
      </w:r>
    </w:p>
    <w:tbl>
      <w:tblPr>
        <w:tblStyle w:val="5"/>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rPr>
              <w:t>行政复议</w:t>
            </w:r>
          </w:p>
        </w:tc>
        <w:tc>
          <w:tcPr>
            <w:tcW w:w="6790" w:type="dxa"/>
            <w:gridSpan w:val="10"/>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结果维持</w:t>
            </w:r>
          </w:p>
        </w:tc>
        <w:tc>
          <w:tcPr>
            <w:tcW w:w="658" w:type="dxa"/>
            <w:vMerge w:val="restart"/>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结果纠正</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其他结果</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尚未审结</w:t>
            </w:r>
          </w:p>
        </w:tc>
        <w:tc>
          <w:tcPr>
            <w:tcW w:w="661"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总计</w:t>
            </w:r>
          </w:p>
        </w:tc>
        <w:tc>
          <w:tcPr>
            <w:tcW w:w="3355" w:type="dxa"/>
            <w:gridSpan w:val="5"/>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未经复议直接起诉</w:t>
            </w:r>
          </w:p>
        </w:tc>
        <w:tc>
          <w:tcPr>
            <w:tcW w:w="3435" w:type="dxa"/>
            <w:gridSpan w:val="5"/>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61"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91"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结果维持</w:t>
            </w:r>
          </w:p>
        </w:tc>
        <w:tc>
          <w:tcPr>
            <w:tcW w:w="639"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结果纠正</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其他结果</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尚未审结</w:t>
            </w:r>
          </w:p>
        </w:tc>
        <w:tc>
          <w:tcPr>
            <w:tcW w:w="64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总计</w:t>
            </w:r>
          </w:p>
        </w:tc>
        <w:tc>
          <w:tcPr>
            <w:tcW w:w="720"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结果维持</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结果纠正</w:t>
            </w:r>
          </w:p>
        </w:tc>
        <w:tc>
          <w:tcPr>
            <w:tcW w:w="67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其他结果</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rPr>
              <w:t>尚未审结</w:t>
            </w:r>
          </w:p>
        </w:tc>
        <w:tc>
          <w:tcPr>
            <w:tcW w:w="660"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eastAsia="宋体"/>
                <w:sz w:val="21"/>
                <w:szCs w:val="21"/>
                <w:lang w:val="en-US" w:eastAsia="zh-CN"/>
              </w:rPr>
              <w:t>1</w:t>
            </w:r>
          </w:p>
        </w:tc>
        <w:tc>
          <w:tcPr>
            <w:tcW w:w="65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c>
          <w:tcPr>
            <w:tcW w:w="65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c>
          <w:tcPr>
            <w:tcW w:w="658"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c>
          <w:tcPr>
            <w:tcW w:w="661"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1</w:t>
            </w:r>
          </w:p>
        </w:tc>
        <w:tc>
          <w:tcPr>
            <w:tcW w:w="691"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2</w:t>
            </w:r>
          </w:p>
        </w:tc>
        <w:tc>
          <w:tcPr>
            <w:tcW w:w="639"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1</w:t>
            </w:r>
          </w:p>
        </w:tc>
        <w:tc>
          <w:tcPr>
            <w:tcW w:w="690"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45"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3</w:t>
            </w:r>
          </w:p>
        </w:tc>
        <w:tc>
          <w:tcPr>
            <w:tcW w:w="720"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sz w:val="21"/>
                <w:szCs w:val="21"/>
                <w:lang w:val="en-US" w:eastAsia="zh-CN"/>
              </w:rPr>
              <w:t>1</w:t>
            </w:r>
          </w:p>
        </w:tc>
        <w:tc>
          <w:tcPr>
            <w:tcW w:w="690"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75"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sz w:val="21"/>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eastAsia="宋体"/>
                <w:sz w:val="21"/>
                <w:szCs w:val="21"/>
                <w:lang w:val="en-US" w:eastAsia="zh-CN"/>
              </w:rPr>
              <w:t>1</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cs="宋体"/>
          <w:lang w:bidi="ar-SA"/>
        </w:rPr>
      </w:pPr>
      <w:r>
        <w:rPr>
          <w:rFonts w:hint="eastAsia" w:ascii="黑体" w:hAnsi="黑体" w:eastAsia="黑体" w:cs="黑体"/>
          <w:b w:val="0"/>
          <w:bCs/>
          <w:sz w:val="32"/>
          <w:szCs w:val="32"/>
          <w:lang w:bidi="ar-SA"/>
        </w:rPr>
        <w:t>五、存在的主要问题及改进情况</w:t>
      </w:r>
    </w:p>
    <w:p>
      <w:pPr>
        <w:keepNext w:val="0"/>
        <w:keepLines w:val="0"/>
        <w:pageBreakBefore w:val="0"/>
        <w:numPr>
          <w:ilvl w:val="0"/>
          <w:numId w:val="0"/>
        </w:numPr>
        <w:kinsoku/>
        <w:wordWrap/>
        <w:overflowPunct/>
        <w:topLinePunct w:val="0"/>
        <w:autoSpaceDE/>
        <w:autoSpaceDN/>
        <w:bidi w:val="0"/>
        <w:adjustRightInd/>
        <w:snapToGrid/>
        <w:spacing w:line="55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2022年，湘乡市政府信息公开工作平稳有序推进，虽取得了较好成效，但仍离上级要求和群众的期盼还有些差距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lang w:val="en-US" w:eastAsia="zh-CN"/>
        </w:rPr>
        <w:t>部分单位</w:t>
      </w:r>
      <w:r>
        <w:rPr>
          <w:rFonts w:hint="eastAsia" w:ascii="仿宋_GB2312" w:hAnsi="仿宋_GB2312" w:eastAsia="仿宋_GB2312" w:cs="仿宋_GB2312"/>
          <w:sz w:val="32"/>
          <w:szCs w:val="32"/>
        </w:rPr>
        <w:t>主动公开意识不强</w:t>
      </w:r>
      <w:r>
        <w:rPr>
          <w:rFonts w:hint="eastAsia" w:ascii="仿宋_GB2312" w:hAnsi="仿宋_GB2312" w:eastAsia="仿宋_GB2312" w:cs="仿宋_GB2312"/>
          <w:sz w:val="32"/>
          <w:szCs w:val="32"/>
          <w:lang w:val="en-US" w:eastAsia="zh-CN"/>
        </w:rPr>
        <w:t>，对政务公开安排的工作落实不够，</w:t>
      </w:r>
      <w:r>
        <w:rPr>
          <w:rFonts w:hint="eastAsia" w:ascii="仿宋_GB2312" w:hAnsi="仿宋_GB2312" w:eastAsia="仿宋_GB2312" w:cs="仿宋_GB2312"/>
          <w:sz w:val="32"/>
          <w:szCs w:val="32"/>
        </w:rPr>
        <w:t>信息公开不及时、不全面</w:t>
      </w:r>
      <w:r>
        <w:rPr>
          <w:rFonts w:hint="default" w:ascii="仿宋_GB2312" w:hAnsi="仿宋_GB2312" w:eastAsia="仿宋_GB2312" w:cs="仿宋_GB2312"/>
          <w:sz w:val="32"/>
          <w:szCs w:val="32"/>
        </w:rPr>
        <w:t>，发布数量少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政务公开工作力量</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业务水平需要一步加强。全</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现有政务公开工作队伍人员流动性大、专业素养参差不齐，队伍业务水平与企业群众日益提高的获得感需求有较大差距</w:t>
      </w:r>
      <w:r>
        <w:rPr>
          <w:rFonts w:hint="eastAsia" w:ascii="宋体" w:hAnsi="宋体" w:eastAsia="宋体" w:cs="宋体"/>
          <w:i w:val="0"/>
          <w:iCs w:val="0"/>
          <w:caps w:val="0"/>
          <w:color w:val="000000"/>
          <w:spacing w:val="0"/>
          <w:sz w:val="24"/>
          <w:szCs w:val="24"/>
          <w:shd w:val="clear" w:color="auto" w:fill="FFFFFF"/>
        </w:rPr>
        <w:t>。</w:t>
      </w:r>
    </w:p>
    <w:p>
      <w:pPr>
        <w:keepNext w:val="0"/>
        <w:keepLines w:val="0"/>
        <w:pageBreakBefore w:val="0"/>
        <w:numPr>
          <w:ilvl w:val="0"/>
          <w:numId w:val="0"/>
        </w:numPr>
        <w:kinsoku/>
        <w:wordWrap/>
        <w:overflowPunct/>
        <w:topLinePunct w:val="0"/>
        <w:autoSpaceDE/>
        <w:autoSpaceDN/>
        <w:bidi w:val="0"/>
        <w:adjustRightInd/>
        <w:snapToGrid/>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下一步，</w:t>
      </w:r>
      <w:r>
        <w:rPr>
          <w:rFonts w:hint="eastAsia" w:ascii="仿宋_GB2312" w:hAnsi="仿宋_GB2312" w:eastAsia="仿宋_GB2312" w:cs="仿宋_GB2312"/>
          <w:sz w:val="32"/>
          <w:szCs w:val="32"/>
          <w:lang w:val="en-US" w:eastAsia="zh-CN"/>
        </w:rPr>
        <w:t>湘乡市</w:t>
      </w:r>
      <w:r>
        <w:rPr>
          <w:rFonts w:hint="eastAsia" w:ascii="仿宋_GB2312" w:hAnsi="仿宋_GB2312" w:eastAsia="仿宋_GB2312" w:cs="仿宋_GB2312"/>
          <w:sz w:val="32"/>
          <w:szCs w:val="32"/>
          <w:lang w:eastAsia="zh-CN"/>
        </w:rPr>
        <w:t>将进一步深化政府信息公</w:t>
      </w:r>
      <w:r>
        <w:rPr>
          <w:rFonts w:hint="eastAsia" w:ascii="仿宋_GB2312" w:hAnsi="仿宋_GB2312" w:eastAsia="仿宋_GB2312" w:cs="仿宋_GB2312"/>
          <w:sz w:val="32"/>
          <w:szCs w:val="32"/>
        </w:rPr>
        <w:t>开工作。</w:t>
      </w:r>
      <w:r>
        <w:rPr>
          <w:rFonts w:hint="eastAsia" w:ascii="仿宋_GB2312" w:hAnsi="仿宋_GB2312" w:eastAsia="仿宋_GB2312" w:cs="仿宋_GB2312"/>
          <w:b/>
          <w:bCs/>
          <w:sz w:val="32"/>
          <w:szCs w:val="32"/>
        </w:rPr>
        <w:t>一是</w:t>
      </w:r>
      <w:r>
        <w:rPr>
          <w:rFonts w:hint="eastAsia" w:ascii="仿宋_GB2312" w:hAnsi="仿宋_GB2312" w:eastAsia="仿宋_GB2312" w:cs="仿宋_GB2312"/>
          <w:sz w:val="32"/>
          <w:szCs w:val="32"/>
        </w:rPr>
        <w:t>加大主</w:t>
      </w:r>
      <w:r>
        <w:rPr>
          <w:rFonts w:hint="eastAsia" w:ascii="仿宋_GB2312" w:hAnsi="仿宋_GB2312" w:eastAsia="仿宋_GB2312" w:cs="仿宋_GB2312"/>
          <w:sz w:val="32"/>
          <w:szCs w:val="32"/>
          <w:lang w:val="en-US" w:eastAsia="zh-CN"/>
        </w:rPr>
        <w:t>动公开力度。严格执行相关政策文件规定的主动公开范围和事项，及时发布和更新依法主动公开的政务信息，确保政务信息的及时公开</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rPr>
        <w:t>加强</w:t>
      </w:r>
      <w:r>
        <w:rPr>
          <w:rFonts w:hint="eastAsia" w:ascii="仿宋_GB2312" w:hAnsi="仿宋_GB2312" w:eastAsia="仿宋_GB2312" w:cs="仿宋_GB2312"/>
          <w:sz w:val="32"/>
          <w:szCs w:val="32"/>
          <w:lang w:val="en-US" w:eastAsia="zh-CN"/>
        </w:rPr>
        <w:t>政务公开</w:t>
      </w:r>
      <w:r>
        <w:rPr>
          <w:rFonts w:hint="eastAsia" w:ascii="仿宋_GB2312" w:hAnsi="仿宋_GB2312" w:eastAsia="仿宋_GB2312" w:cs="仿宋_GB2312"/>
          <w:sz w:val="32"/>
          <w:szCs w:val="32"/>
        </w:rPr>
        <w:t>业务培训。增强工作人员的政务公开意识，强化业务培训，不断提高信息公开的质量和水平，进一步增强政府信息公开工作的透明度。</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rPr>
        <w:t>继续完善长效工作机制。在目前政府信息公开工作基础上，不断总结经验，逐步完善信息公开审查、发布制度，确保政府信息公开工作制度化、规范化发展，做到深入、持续、高效地开展政府信息公开工作。 </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六、其他需要报告的事项</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56" w:lineRule="exact"/>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依据《湖南省财政厅湖南省发展和改革委员会关于政府信息公开信息处理费管理有关事项的通知》（湘财税[2021]3号）文件，本年度未收取信息处理费。</w:t>
      </w:r>
    </w:p>
    <w:p>
      <w:pPr>
        <w:keepNext w:val="0"/>
        <w:keepLines w:val="0"/>
        <w:pageBreakBefore w:val="0"/>
        <w:kinsoku/>
        <w:wordWrap/>
        <w:overflowPunct/>
        <w:topLinePunct w:val="0"/>
        <w:autoSpaceDE/>
        <w:autoSpaceDN/>
        <w:bidi w:val="0"/>
        <w:adjustRightInd/>
        <w:snapToGrid/>
        <w:spacing w:line="556"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如需了解更多政府信息，请登录湘乡市人民政府门户网站，地址http://www.xxs.gov.cn/。</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FhYzZkYzIyMjhmZTQyZmUxZjAzMTEyNGYxZTE1MDQifQ=="/>
  </w:docVars>
  <w:rsids>
    <w:rsidRoot w:val="00000000"/>
    <w:rsid w:val="30CD5BE0"/>
    <w:rsid w:val="34EA221B"/>
    <w:rsid w:val="6B244F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qFormat/>
    <w:uiPriority w:val="0"/>
  </w:style>
  <w:style w:type="table" w:default="1" w:styleId="5">
    <w:name w:val="Normal Table"/>
    <w:qFormat/>
    <w:uiPriority w:val="0"/>
    <w:tblPr>
      <w:tblCellMar>
        <w:top w:w="0" w:type="dxa"/>
        <w:left w:w="108" w:type="dxa"/>
        <w:bottom w:w="0" w:type="dxa"/>
        <w:right w:w="108" w:type="dxa"/>
      </w:tblCellMar>
    </w:tblPr>
  </w:style>
  <w:style w:type="paragraph" w:styleId="2">
    <w:name w:val="endnote text"/>
    <w:basedOn w:val="1"/>
    <w:qFormat/>
    <w:uiPriority w:val="0"/>
    <w:pPr>
      <w:keepNext w:val="0"/>
      <w:keepLines w:val="0"/>
      <w:widowControl/>
      <w:suppressLineNumbers w:val="0"/>
      <w:adjustRightInd w:val="0"/>
      <w:snapToGrid w:val="0"/>
      <w:spacing w:before="0" w:beforeAutospacing="0" w:after="200" w:afterAutospacing="0"/>
      <w:ind w:left="0" w:right="0"/>
      <w:jc w:val="left"/>
    </w:pPr>
    <w:rPr>
      <w:rFonts w:hint="default" w:ascii="Tahoma" w:hAnsi="Tahoma" w:eastAsia="微软雅黑" w:cs="Times New Roman"/>
      <w:snapToGrid/>
      <w:kern w:val="0"/>
      <w:sz w:val="22"/>
      <w:szCs w:val="22"/>
      <w:lang w:val="en-US" w:eastAsia="zh-CN"/>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next w:val="3"/>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SA"/>
    </w:rPr>
  </w:style>
  <w:style w:type="character" w:styleId="7">
    <w:name w:val="Strong"/>
    <w:basedOn w:val="6"/>
    <w:qFormat/>
    <w:uiPriority w:val="0"/>
    <w:rPr>
      <w:b/>
    </w:rPr>
  </w:style>
  <w:style w:type="character" w:customStyle="1" w:styleId="8">
    <w:name w:val="NormalCharacter"/>
    <w:basedOn w:val="6"/>
    <w:qFormat/>
    <w:uiPriority w:val="0"/>
    <w:rPr>
      <w:rFonts w:hint="default" w:ascii="Calibri" w:hAnsi="Calibri" w:eastAsia="宋体" w:cs="Times New Roman"/>
      <w:kern w:val="2"/>
      <w:sz w:val="21"/>
      <w:szCs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3109</Words>
  <Characters>3265</Characters>
  <Paragraphs>392</Paragraphs>
  <TotalTime>0</TotalTime>
  <ScaleCrop>false</ScaleCrop>
  <LinksUpToDate>false</LinksUpToDate>
  <CharactersWithSpaces>3292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2023-01-09T04:31:00Z</dcterms:created>
  <dc:creator>Ganwei</dc:creator>
  <cp:lastModifiedBy>zxc</cp:lastModifiedBy>
  <dcterms:modified xsi:type="dcterms:W3CDTF">2023-03-08T01:19:05Z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28462EFD227D4655A907D8DC3D2C9756</vt:lpwstr>
  </property>
</Properties>
</file>