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jc w:val="center"/>
        <w:rPr>
          <w:sz w:val="56"/>
          <w:szCs w:val="56"/>
        </w:rPr>
      </w:pPr>
    </w:p>
    <w:p>
      <w:pPr>
        <w:pStyle w:val="15"/>
        <w:jc w:val="center"/>
        <w:rPr>
          <w:sz w:val="56"/>
          <w:szCs w:val="56"/>
        </w:rPr>
      </w:pPr>
    </w:p>
    <w:p>
      <w:pPr>
        <w:pStyle w:val="15"/>
        <w:jc w:val="center"/>
        <w:rPr>
          <w:sz w:val="84"/>
          <w:szCs w:val="84"/>
        </w:rPr>
      </w:pPr>
    </w:p>
    <w:p>
      <w:pPr>
        <w:pStyle w:val="15"/>
        <w:jc w:val="center"/>
        <w:rPr>
          <w:sz w:val="84"/>
          <w:szCs w:val="84"/>
        </w:rPr>
      </w:pPr>
    </w:p>
    <w:p>
      <w:pPr>
        <w:pStyle w:val="15"/>
        <w:jc w:val="center"/>
        <w:rPr>
          <w:sz w:val="84"/>
          <w:szCs w:val="84"/>
        </w:rPr>
      </w:pPr>
      <w:r>
        <w:rPr>
          <w:rFonts w:hint="eastAsia"/>
          <w:sz w:val="84"/>
          <w:szCs w:val="84"/>
        </w:rPr>
        <w:t>202</w:t>
      </w:r>
      <w:r>
        <w:rPr>
          <w:rFonts w:hint="eastAsia"/>
          <w:sz w:val="84"/>
          <w:szCs w:val="84"/>
          <w:lang w:val="en-US" w:eastAsia="zh-CN"/>
        </w:rPr>
        <w:t>1</w:t>
      </w:r>
      <w:r>
        <w:rPr>
          <w:rFonts w:hint="eastAsia"/>
          <w:sz w:val="84"/>
          <w:szCs w:val="84"/>
        </w:rPr>
        <w:t>年度</w:t>
      </w:r>
    </w:p>
    <w:p>
      <w:pPr>
        <w:pStyle w:val="15"/>
        <w:jc w:val="center"/>
        <w:rPr>
          <w:sz w:val="84"/>
          <w:szCs w:val="84"/>
        </w:rPr>
      </w:pPr>
      <w:r>
        <w:rPr>
          <w:rFonts w:hint="eastAsia" w:ascii="黑体" w:eastAsia="黑体"/>
          <w:spacing w:val="-2"/>
          <w:sz w:val="84"/>
        </w:rPr>
        <w:t>湘乡市</w:t>
      </w:r>
      <w:r>
        <w:rPr>
          <w:rFonts w:hint="eastAsia"/>
          <w:spacing w:val="-2"/>
          <w:sz w:val="84"/>
          <w:lang w:eastAsia="zh-CN"/>
        </w:rPr>
        <w:t>卫生健康</w:t>
      </w:r>
      <w:r>
        <w:rPr>
          <w:rFonts w:hint="eastAsia" w:ascii="黑体" w:eastAsia="黑体"/>
          <w:spacing w:val="-2"/>
          <w:sz w:val="84"/>
        </w:rPr>
        <w:t>局</w:t>
      </w:r>
      <w:r>
        <w:rPr>
          <w:rFonts w:hint="eastAsia"/>
          <w:spacing w:val="-2"/>
          <w:sz w:val="84"/>
          <w:lang w:eastAsia="zh-CN"/>
        </w:rPr>
        <w:t>单位</w:t>
      </w:r>
      <w:r>
        <w:rPr>
          <w:rFonts w:hint="eastAsia"/>
          <w:sz w:val="84"/>
          <w:szCs w:val="84"/>
        </w:rPr>
        <w:t>部门决算</w:t>
      </w:r>
    </w:p>
    <w:p>
      <w:pPr>
        <w:pStyle w:val="15"/>
        <w:jc w:val="center"/>
        <w:rPr>
          <w:sz w:val="56"/>
          <w:szCs w:val="56"/>
        </w:rPr>
      </w:pPr>
    </w:p>
    <w:p>
      <w:pPr>
        <w:pStyle w:val="15"/>
        <w:jc w:val="center"/>
        <w:rPr>
          <w:sz w:val="56"/>
          <w:szCs w:val="56"/>
        </w:rPr>
      </w:pPr>
    </w:p>
    <w:p>
      <w:pPr>
        <w:pStyle w:val="15"/>
        <w:jc w:val="center"/>
        <w:rPr>
          <w:sz w:val="56"/>
          <w:szCs w:val="56"/>
        </w:rPr>
      </w:pPr>
    </w:p>
    <w:p>
      <w:pPr>
        <w:pStyle w:val="15"/>
        <w:jc w:val="center"/>
        <w:rPr>
          <w:sz w:val="56"/>
          <w:szCs w:val="56"/>
        </w:rPr>
      </w:pPr>
    </w:p>
    <w:p>
      <w:pPr>
        <w:pStyle w:val="15"/>
        <w:jc w:val="center"/>
        <w:rPr>
          <w:sz w:val="32"/>
          <w:szCs w:val="32"/>
        </w:rPr>
      </w:pPr>
    </w:p>
    <w:p>
      <w:pPr>
        <w:pStyle w:val="15"/>
        <w:jc w:val="center"/>
        <w:rPr>
          <w:sz w:val="32"/>
          <w:szCs w:val="32"/>
        </w:rPr>
      </w:pPr>
    </w:p>
    <w:p>
      <w:pPr>
        <w:pStyle w:val="15"/>
        <w:jc w:val="center"/>
        <w:rPr>
          <w:sz w:val="32"/>
          <w:szCs w:val="32"/>
        </w:rPr>
      </w:pPr>
    </w:p>
    <w:p>
      <w:pPr>
        <w:pStyle w:val="15"/>
        <w:spacing w:line="540" w:lineRule="exact"/>
        <w:jc w:val="center"/>
        <w:rPr>
          <w:sz w:val="56"/>
          <w:szCs w:val="56"/>
        </w:rPr>
      </w:pPr>
    </w:p>
    <w:p>
      <w:pPr>
        <w:pStyle w:val="15"/>
        <w:spacing w:line="500" w:lineRule="exact"/>
        <w:jc w:val="center"/>
        <w:rPr>
          <w:b/>
          <w:sz w:val="36"/>
          <w:szCs w:val="28"/>
        </w:rPr>
      </w:pPr>
    </w:p>
    <w:p>
      <w:pPr>
        <w:pStyle w:val="15"/>
        <w:spacing w:line="500" w:lineRule="exact"/>
        <w:jc w:val="center"/>
        <w:rPr>
          <w:b/>
          <w:sz w:val="36"/>
          <w:szCs w:val="28"/>
        </w:rPr>
      </w:pPr>
    </w:p>
    <w:p>
      <w:pPr>
        <w:pStyle w:val="15"/>
        <w:spacing w:line="500" w:lineRule="exact"/>
        <w:jc w:val="center"/>
        <w:rPr>
          <w:b/>
          <w:sz w:val="36"/>
          <w:szCs w:val="28"/>
        </w:rPr>
      </w:pPr>
    </w:p>
    <w:p>
      <w:pPr>
        <w:pStyle w:val="15"/>
        <w:spacing w:line="500" w:lineRule="exact"/>
        <w:jc w:val="center"/>
        <w:rPr>
          <w:b/>
          <w:sz w:val="36"/>
          <w:szCs w:val="28"/>
        </w:rPr>
      </w:pPr>
    </w:p>
    <w:p>
      <w:pPr>
        <w:pStyle w:val="15"/>
        <w:spacing w:line="500" w:lineRule="exact"/>
        <w:jc w:val="center"/>
        <w:rPr>
          <w:rFonts w:hint="eastAsia"/>
          <w:b/>
          <w:sz w:val="36"/>
          <w:szCs w:val="28"/>
        </w:rPr>
      </w:pPr>
    </w:p>
    <w:p>
      <w:pPr>
        <w:pStyle w:val="15"/>
        <w:spacing w:line="500" w:lineRule="exact"/>
        <w:jc w:val="center"/>
        <w:rPr>
          <w:rFonts w:hint="eastAsia"/>
          <w:b/>
          <w:sz w:val="36"/>
          <w:szCs w:val="28"/>
        </w:rPr>
      </w:pPr>
    </w:p>
    <w:p>
      <w:pPr>
        <w:pStyle w:val="15"/>
        <w:spacing w:line="500" w:lineRule="exact"/>
        <w:jc w:val="center"/>
        <w:rPr>
          <w:b/>
          <w:sz w:val="36"/>
          <w:szCs w:val="28"/>
        </w:rPr>
      </w:pPr>
      <w:r>
        <w:rPr>
          <w:rFonts w:hint="eastAsia"/>
          <w:b/>
          <w:sz w:val="36"/>
          <w:szCs w:val="28"/>
        </w:rPr>
        <w:t>目</w:t>
      </w:r>
      <w:r>
        <w:rPr>
          <w:rFonts w:hint="eastAsia"/>
          <w:b/>
          <w:sz w:val="36"/>
          <w:szCs w:val="28"/>
          <w:lang w:val="en-US" w:eastAsia="zh-CN"/>
        </w:rPr>
        <w:t xml:space="preserve">  </w:t>
      </w:r>
      <w:r>
        <w:rPr>
          <w:rFonts w:hint="eastAsia"/>
          <w:b/>
          <w:sz w:val="36"/>
          <w:szCs w:val="28"/>
        </w:rPr>
        <w:t>录</w:t>
      </w:r>
    </w:p>
    <w:p>
      <w:pPr>
        <w:pStyle w:val="12"/>
        <w:bidi w:val="0"/>
      </w:pPr>
      <w:r>
        <w:rPr>
          <w:rFonts w:hint="eastAsia"/>
        </w:rPr>
        <w:t>第一部分</w:t>
      </w:r>
      <w:r>
        <w:rPr>
          <w:rFonts w:hint="eastAsia"/>
          <w:lang w:val="en-US" w:eastAsia="zh-CN"/>
        </w:rPr>
        <w:t xml:space="preserve"> </w:t>
      </w:r>
      <w:r>
        <w:rPr>
          <w:rFonts w:hint="eastAsia"/>
          <w:lang w:eastAsia="zh-CN"/>
        </w:rPr>
        <w:t>湘乡市卫健局</w:t>
      </w:r>
      <w:r>
        <w:rPr>
          <w:rFonts w:hint="eastAsia"/>
        </w:rPr>
        <w:t>单位概况</w:t>
      </w:r>
    </w:p>
    <w:p>
      <w:pPr>
        <w:pStyle w:val="15"/>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textAlignment w:val="auto"/>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5"/>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textAlignment w:val="auto"/>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2"/>
        <w:bidi w:val="0"/>
      </w:pPr>
      <w:r>
        <w:rPr>
          <w:rFonts w:hint="eastAsia"/>
        </w:rPr>
        <w:t>第二部分</w:t>
      </w:r>
      <w:r>
        <w:rPr>
          <w:rFonts w:hint="eastAsia"/>
          <w:lang w:val="en-US" w:eastAsia="zh-CN"/>
        </w:rPr>
        <w:t xml:space="preserve"> </w:t>
      </w:r>
      <w:r>
        <w:rPr>
          <w:rFonts w:hint="eastAsia"/>
          <w:lang w:eastAsia="zh-CN"/>
        </w:rPr>
        <w:t>2021</w:t>
      </w:r>
      <w:r>
        <w:rPr>
          <w:rFonts w:hint="eastAsia"/>
        </w:rPr>
        <w:t>年度部门决算表</w:t>
      </w:r>
    </w:p>
    <w:p>
      <w:pPr>
        <w:pStyle w:val="15"/>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textAlignment w:val="auto"/>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5"/>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textAlignment w:val="auto"/>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5"/>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textAlignment w:val="auto"/>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5"/>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textAlignment w:val="auto"/>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5"/>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textAlignment w:val="auto"/>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5"/>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textAlignment w:val="auto"/>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pPr>
        <w:pStyle w:val="15"/>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textAlignment w:val="auto"/>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5"/>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textAlignment w:val="auto"/>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5"/>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textAlignment w:val="auto"/>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12"/>
        <w:bidi w:val="0"/>
      </w:pPr>
      <w:r>
        <w:rPr>
          <w:rFonts w:hint="eastAsia"/>
        </w:rPr>
        <w:t>第三部分</w:t>
      </w:r>
      <w:r>
        <w:rPr>
          <w:rFonts w:hint="eastAsia"/>
          <w:lang w:val="en-US" w:eastAsia="zh-CN"/>
        </w:rPr>
        <w:t xml:space="preserve"> </w:t>
      </w:r>
      <w:r>
        <w:rPr>
          <w:rFonts w:hint="eastAsia"/>
          <w:lang w:eastAsia="zh-CN"/>
        </w:rPr>
        <w:t>2021</w:t>
      </w:r>
      <w:r>
        <w:rPr>
          <w:rFonts w:hint="eastAsia"/>
        </w:rPr>
        <w:t>年度部门决算情况说明</w:t>
      </w:r>
    </w:p>
    <w:p>
      <w:pPr>
        <w:pStyle w:val="15"/>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textAlignment w:val="auto"/>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pStyle w:val="15"/>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textAlignment w:val="auto"/>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二、收入决算情况说明</w:t>
      </w:r>
    </w:p>
    <w:p>
      <w:pPr>
        <w:pStyle w:val="15"/>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textAlignment w:val="auto"/>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三、支出决算情况说明</w:t>
      </w:r>
    </w:p>
    <w:p>
      <w:pPr>
        <w:pStyle w:val="15"/>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textAlignment w:val="auto"/>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四、财政拨款收入支出决算总体情况说明</w:t>
      </w:r>
    </w:p>
    <w:p>
      <w:pPr>
        <w:pStyle w:val="15"/>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textAlignment w:val="auto"/>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五、一般公共预算财政拨款支出决算情况说明</w:t>
      </w:r>
    </w:p>
    <w:p>
      <w:pPr>
        <w:pStyle w:val="15"/>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textAlignment w:val="auto"/>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六、一般公共预算财政拨款基本支出决算情况说明</w:t>
      </w:r>
    </w:p>
    <w:p>
      <w:pPr>
        <w:pStyle w:val="15"/>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textAlignment w:val="auto"/>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七、一般公共预算财政拨款三公经费支出决算情况说明</w:t>
      </w:r>
    </w:p>
    <w:p>
      <w:pPr>
        <w:pStyle w:val="15"/>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textAlignment w:val="auto"/>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八</w:t>
      </w:r>
      <w:r>
        <w:rPr>
          <w:rFonts w:cs="仿宋_GB2312" w:asciiTheme="minorEastAsia" w:hAnsiTheme="minorEastAsia" w:eastAsiaTheme="minorEastAsia"/>
          <w:sz w:val="28"/>
          <w:szCs w:val="28"/>
        </w:rPr>
        <w:t>、</w:t>
      </w:r>
      <w:r>
        <w:rPr>
          <w:rFonts w:hint="eastAsia" w:cs="仿宋_GB2312" w:asciiTheme="minorEastAsia" w:hAnsiTheme="minorEastAsia" w:eastAsiaTheme="minorEastAsia"/>
          <w:sz w:val="28"/>
          <w:szCs w:val="28"/>
        </w:rPr>
        <w:t>政府性基金预算收入支出决算情况</w:t>
      </w:r>
    </w:p>
    <w:p>
      <w:pPr>
        <w:pStyle w:val="15"/>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textAlignment w:val="auto"/>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w:t>
      </w:r>
      <w:r>
        <w:rPr>
          <w:rFonts w:cs="仿宋_GB2312" w:asciiTheme="minorEastAsia" w:hAnsiTheme="minorEastAsia" w:eastAsiaTheme="minorEastAsia"/>
          <w:sz w:val="28"/>
          <w:szCs w:val="28"/>
        </w:rPr>
        <w:t>、</w:t>
      </w:r>
      <w:r>
        <w:rPr>
          <w:rFonts w:hint="eastAsia" w:cs="仿宋_GB2312" w:asciiTheme="minorEastAsia" w:hAnsiTheme="minorEastAsia" w:eastAsiaTheme="minorEastAsia"/>
          <w:sz w:val="28"/>
          <w:szCs w:val="28"/>
        </w:rPr>
        <w:t>关于机关运行经费支出说明</w:t>
      </w:r>
    </w:p>
    <w:p>
      <w:pPr>
        <w:pStyle w:val="15"/>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textAlignment w:val="auto"/>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十、一般性支出情况</w:t>
      </w:r>
    </w:p>
    <w:p>
      <w:pPr>
        <w:pStyle w:val="15"/>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textAlignment w:val="auto"/>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十一、关于政府采购支出说明</w:t>
      </w:r>
    </w:p>
    <w:p>
      <w:pPr>
        <w:pStyle w:val="15"/>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textAlignment w:val="auto"/>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十二、关于国有资产占用情况说明</w:t>
      </w:r>
    </w:p>
    <w:p>
      <w:pPr>
        <w:pStyle w:val="15"/>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textAlignment w:val="auto"/>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十三、关于</w:t>
      </w:r>
      <w:r>
        <w:rPr>
          <w:rFonts w:hint="eastAsia" w:cs="仿宋_GB2312" w:asciiTheme="minorEastAsia" w:hAnsiTheme="minorEastAsia" w:eastAsiaTheme="minorEastAsia"/>
          <w:sz w:val="28"/>
          <w:szCs w:val="28"/>
          <w:lang w:eastAsia="zh-CN"/>
        </w:rPr>
        <w:t>2021</w:t>
      </w:r>
      <w:r>
        <w:rPr>
          <w:rFonts w:hint="eastAsia" w:cs="仿宋_GB2312" w:asciiTheme="minorEastAsia" w:hAnsiTheme="minorEastAsia" w:eastAsiaTheme="minorEastAsia"/>
          <w:sz w:val="28"/>
          <w:szCs w:val="28"/>
        </w:rPr>
        <w:t>年度预算绩效情况的说明</w:t>
      </w:r>
    </w:p>
    <w:p>
      <w:pPr>
        <w:pStyle w:val="12"/>
        <w:bidi w:val="0"/>
      </w:pPr>
      <w:r>
        <w:t>第四部分</w:t>
      </w:r>
      <w:r>
        <w:rPr>
          <w:rFonts w:hint="eastAsia"/>
          <w:lang w:val="en-US" w:eastAsia="zh-CN"/>
        </w:rPr>
        <w:t xml:space="preserve"> </w:t>
      </w:r>
      <w:r>
        <w:t>名词解释</w:t>
      </w:r>
    </w:p>
    <w:p>
      <w:pPr>
        <w:pStyle w:val="12"/>
        <w:bidi w:val="0"/>
      </w:pPr>
      <w:r>
        <w:rPr>
          <w:rFonts w:hint="eastAsia"/>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15"/>
        <w:jc w:val="center"/>
        <w:rPr>
          <w:sz w:val="84"/>
          <w:szCs w:val="84"/>
        </w:rPr>
      </w:pPr>
      <w:r>
        <w:rPr>
          <w:rFonts w:hint="eastAsia"/>
          <w:sz w:val="84"/>
          <w:szCs w:val="84"/>
        </w:rPr>
        <w:t>第一部分</w:t>
      </w:r>
      <w:r>
        <w:rPr>
          <w:sz w:val="84"/>
          <w:szCs w:val="84"/>
        </w:rPr>
        <w:t xml:space="preserve"> </w:t>
      </w:r>
    </w:p>
    <w:p>
      <w:pPr>
        <w:pStyle w:val="15"/>
        <w:jc w:val="center"/>
        <w:rPr>
          <w:sz w:val="84"/>
          <w:szCs w:val="84"/>
        </w:rPr>
      </w:pPr>
    </w:p>
    <w:p>
      <w:pPr>
        <w:pStyle w:val="15"/>
        <w:jc w:val="center"/>
        <w:rPr>
          <w:sz w:val="84"/>
          <w:szCs w:val="84"/>
        </w:rPr>
      </w:pPr>
      <w:r>
        <w:rPr>
          <w:rFonts w:hint="eastAsia" w:ascii="黑体" w:eastAsia="黑体"/>
          <w:sz w:val="84"/>
        </w:rPr>
        <w:t>湘乡市</w:t>
      </w:r>
      <w:r>
        <w:rPr>
          <w:rFonts w:hint="eastAsia"/>
          <w:sz w:val="84"/>
          <w:lang w:eastAsia="zh-CN"/>
        </w:rPr>
        <w:t>卫生健康</w:t>
      </w:r>
      <w:r>
        <w:rPr>
          <w:rFonts w:hint="eastAsia" w:ascii="黑体" w:eastAsia="黑体"/>
          <w:sz w:val="84"/>
        </w:rPr>
        <w:t>局</w:t>
      </w:r>
      <w:r>
        <w:rPr>
          <w:rFonts w:hint="eastAsia"/>
          <w:sz w:val="84"/>
          <w:szCs w:val="84"/>
        </w:rPr>
        <w:t>单位概况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6"/>
        <w:ind w:left="720" w:firstLine="0" w:firstLineChars="0"/>
        <w:jc w:val="left"/>
        <w:rPr>
          <w:rFonts w:ascii="黑体" w:hAnsi="黑体" w:eastAsia="黑体"/>
          <w:sz w:val="32"/>
          <w:szCs w:val="32"/>
        </w:rPr>
      </w:pPr>
    </w:p>
    <w:p>
      <w:pPr>
        <w:pStyle w:val="16"/>
        <w:ind w:left="720" w:firstLine="0" w:firstLineChars="0"/>
        <w:jc w:val="left"/>
        <w:rPr>
          <w:rFonts w:ascii="黑体" w:hAnsi="黑体" w:eastAsia="黑体"/>
          <w:sz w:val="32"/>
          <w:szCs w:val="32"/>
        </w:rPr>
      </w:pPr>
    </w:p>
    <w:p>
      <w:pPr>
        <w:pStyle w:val="16"/>
        <w:ind w:left="720" w:firstLine="0" w:firstLineChars="0"/>
        <w:jc w:val="left"/>
        <w:rPr>
          <w:rFonts w:ascii="黑体" w:hAnsi="黑体" w:eastAsia="黑体"/>
          <w:sz w:val="32"/>
          <w:szCs w:val="32"/>
        </w:rPr>
      </w:pPr>
    </w:p>
    <w:p>
      <w:pPr>
        <w:pStyle w:val="16"/>
        <w:ind w:left="720" w:firstLine="0" w:firstLineChars="0"/>
        <w:jc w:val="left"/>
        <w:rPr>
          <w:rFonts w:ascii="黑体" w:hAnsi="黑体" w:eastAsia="黑体"/>
          <w:sz w:val="32"/>
          <w:szCs w:val="32"/>
        </w:rPr>
      </w:pPr>
    </w:p>
    <w:p>
      <w:pPr>
        <w:pStyle w:val="16"/>
        <w:ind w:left="720" w:firstLine="0" w:firstLineChars="0"/>
        <w:jc w:val="left"/>
        <w:rPr>
          <w:rFonts w:ascii="黑体" w:hAnsi="黑体" w:eastAsia="黑体"/>
          <w:sz w:val="32"/>
          <w:szCs w:val="32"/>
        </w:rPr>
      </w:pPr>
    </w:p>
    <w:p>
      <w:pPr>
        <w:pStyle w:val="16"/>
        <w:ind w:left="720" w:firstLine="0" w:firstLineChars="0"/>
        <w:jc w:val="left"/>
        <w:rPr>
          <w:rFonts w:ascii="黑体" w:hAnsi="黑体" w:eastAsia="黑体"/>
          <w:sz w:val="32"/>
          <w:szCs w:val="32"/>
        </w:rPr>
      </w:pPr>
    </w:p>
    <w:p>
      <w:pPr>
        <w:pStyle w:val="16"/>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pStyle w:val="11"/>
        <w:bidi w:val="0"/>
      </w:pPr>
      <w:r>
        <w:t>（一）贯彻执行国家、省、市关于卫生</w:t>
      </w:r>
      <w:r>
        <w:rPr>
          <w:rFonts w:hint="eastAsia"/>
          <w:lang w:eastAsia="zh-CN"/>
        </w:rPr>
        <w:t>健康工</w:t>
      </w:r>
      <w:r>
        <w:t>作的方针、政策和法律法规；组织实施卫生</w:t>
      </w:r>
      <w:r>
        <w:rPr>
          <w:rFonts w:hint="eastAsia"/>
          <w:lang w:eastAsia="zh-CN"/>
        </w:rPr>
        <w:t>健康</w:t>
      </w:r>
      <w:r>
        <w:t>、中医药事业发展的地方性法规、规章和其他规范性文件。负责协调推进 全市医药卫生体制改革和医疗保障，统筹规划全市卫生</w:t>
      </w:r>
      <w:r>
        <w:rPr>
          <w:rFonts w:hint="eastAsia"/>
          <w:lang w:eastAsia="zh-CN"/>
        </w:rPr>
        <w:t>健康</w:t>
      </w:r>
      <w:r>
        <w:t>资源配置，指导区域卫生</w:t>
      </w:r>
      <w:r>
        <w:rPr>
          <w:rFonts w:hint="eastAsia"/>
          <w:lang w:eastAsia="zh-CN"/>
        </w:rPr>
        <w:t>健康</w:t>
      </w:r>
      <w:r>
        <w:t>规划的编制和实施。</w:t>
      </w:r>
    </w:p>
    <w:p>
      <w:pPr>
        <w:pStyle w:val="11"/>
        <w:bidi w:val="0"/>
      </w:pPr>
      <w:r>
        <w:t>（二）负责拟订全市疾病预防控制规划和严重危害人民</w:t>
      </w:r>
    </w:p>
    <w:p>
      <w:pPr>
        <w:pStyle w:val="11"/>
        <w:bidi w:val="0"/>
      </w:pPr>
      <w:r>
        <w:t>健康的公共卫生问题的干预措施并组织落实，组织实施国家免疫规划；组织拟订并实施全市卫生应急和紧急医学救援预案、突发公共卫生事件监测和风险评估计划，组织和指导全 市突发公共卫生事件预防控制和各类突发公共事件的医疗卫生救援，发布突发公共卫生事件应急处置信息；报告传染病疫情。</w:t>
      </w:r>
    </w:p>
    <w:p>
      <w:pPr>
        <w:pStyle w:val="11"/>
        <w:bidi w:val="0"/>
      </w:pPr>
    </w:p>
    <w:p>
      <w:pPr>
        <w:pStyle w:val="11"/>
        <w:bidi w:val="0"/>
      </w:pPr>
      <w:r>
        <w:rPr>
          <w:rFonts w:hint="eastAsia"/>
          <w:lang w:eastAsia="zh-CN"/>
        </w:rPr>
        <w:t>（三）</w:t>
      </w:r>
      <w:r>
        <w:t>负责职责范围内的职业卫生、放射卫生、环境卫生、学校卫生、公共场所卫生、饮用水卫生和传染病防治的监测、调查、评估和监督；组织有关部门按照国家、省、市的部署开展食品安全风险监测、食品安全地方标准跟踪评价，负责食源性疾病与食品安全事故现场进行卫生处理和流行 病学调查；负责对餐具、饮具集中消毒服务单位违反《食品安全法》的行为进行查处。</w:t>
      </w:r>
    </w:p>
    <w:p>
      <w:pPr>
        <w:pStyle w:val="11"/>
        <w:bidi w:val="0"/>
      </w:pPr>
    </w:p>
    <w:p>
      <w:pPr>
        <w:pStyle w:val="11"/>
        <w:bidi w:val="0"/>
      </w:pPr>
      <w:r>
        <w:t>（四）负责组织拟订并实施基层卫生和计划生育服务、妇幼卫生发展规划和政策措施，指导全市基层卫生和计划生育、妇幼卫生服务体系建设，推进基本公共卫生和计划生育服务均等化，完善基层运行新机制和乡村医生管理制度。</w:t>
      </w:r>
    </w:p>
    <w:p>
      <w:pPr>
        <w:pStyle w:val="11"/>
        <w:bidi w:val="0"/>
      </w:pPr>
    </w:p>
    <w:p>
      <w:pPr>
        <w:pStyle w:val="11"/>
        <w:bidi w:val="0"/>
      </w:pPr>
      <w:r>
        <w:t>（五）组织实施新型农村合作医疗的政策，制定落实方案和措施，负责指导和监督新型农村合作医疗工作。</w:t>
      </w:r>
    </w:p>
    <w:p>
      <w:pPr>
        <w:pStyle w:val="11"/>
        <w:bidi w:val="0"/>
      </w:pPr>
      <w:r>
        <w:t>（六）组织医疗机构和采供血机构实施医疗技术、医疗 质量、医疗服务、医疗安全的政策、规范、标准等，会同有 关部门贯彻执行国家卫生专业技术人员准入、资格标准，组 织实施卫生专业技术人员执业规则和服务规范，建立医疗机构运行监管和 医疗服务评价体系。</w:t>
      </w:r>
    </w:p>
    <w:p>
      <w:pPr>
        <w:pStyle w:val="11"/>
        <w:bidi w:val="0"/>
      </w:pPr>
      <w:r>
        <w:t>（七）负责组织推进公立医院改革，建立公益性为导向 的绩效考核和评价运行机制，建设和谐医患关系，提出医疗服务和药品价格政策的建议。</w:t>
      </w:r>
    </w:p>
    <w:p>
      <w:pPr>
        <w:pStyle w:val="11"/>
        <w:bidi w:val="0"/>
      </w:pPr>
      <w:r>
        <w:t>（八）实施国家药物政策和国家基本药物制度，执行国 家基本药物目录（含省增补药品目录），负责全市基本药物 的集中采购、配送、使用的监督管理工作。负责全市公立医疗卫生 机构药品、医用耗材及检验试剂集中采购的日常监管工作，组织全市医疗卫生机构具体实施普通医用耗材及检验试剂集中采购工作。</w:t>
      </w:r>
    </w:p>
    <w:p>
      <w:pPr>
        <w:pStyle w:val="11"/>
        <w:bidi w:val="0"/>
        <w:sectPr>
          <w:pgSz w:w="11910" w:h="16840"/>
          <w:pgMar w:top="1540" w:right="1380" w:bottom="280" w:left="1580" w:header="720" w:footer="720" w:gutter="0"/>
          <w:cols w:space="720" w:num="1"/>
        </w:sectPr>
      </w:pPr>
    </w:p>
    <w:p>
      <w:pPr>
        <w:pStyle w:val="11"/>
        <w:bidi w:val="0"/>
      </w:pPr>
      <w:r>
        <w:t>（九）组织实施促进出生人口性别平衡的政策措施，组织监测计划生育发展动态，报告计划生育安全预警预报信息。 监督实施计划生育技术服务管理制度。贯彻执行优生优育和提高出生人口素质的政策措施，推动实施计划生育生殖健康促进计划，降低出生缺陷发生率。</w:t>
      </w:r>
    </w:p>
    <w:p>
      <w:pPr>
        <w:pStyle w:val="11"/>
        <w:bidi w:val="0"/>
      </w:pPr>
      <w:r>
        <w:t>（十）组织建立并实施计划生育利益导向、计划生育特殊困难家庭扶助和促进计划生育家庭发展等政策机制。负责协调推进有关部门、群众团体履行计划生育工作相关职责， 建立与经济社会发展政策的衔接机制。</w:t>
      </w:r>
    </w:p>
    <w:p>
      <w:pPr>
        <w:pStyle w:val="11"/>
        <w:bidi w:val="0"/>
      </w:pPr>
      <w:r>
        <w:t>（十</w:t>
      </w:r>
      <w:r>
        <w:rPr>
          <w:rFonts w:hint="eastAsia"/>
          <w:lang w:eastAsia="zh-CN"/>
        </w:rPr>
        <w:t>一</w:t>
      </w:r>
      <w:r>
        <w:t>）组织实施卫生</w:t>
      </w:r>
      <w:r>
        <w:rPr>
          <w:rFonts w:hint="eastAsia"/>
          <w:lang w:eastAsia="zh-CN"/>
        </w:rPr>
        <w:t>健康</w:t>
      </w:r>
      <w:r>
        <w:t>人才发展规划，指导卫生</w:t>
      </w:r>
      <w:r>
        <w:rPr>
          <w:rFonts w:hint="eastAsia"/>
          <w:lang w:eastAsia="zh-CN"/>
        </w:rPr>
        <w:t>健康</w:t>
      </w:r>
      <w:r>
        <w:t>人才队伍建设。加强全科医生等急需紧缺专 业人才培养，建立完善住院医师和专科医师规范化培训制度并 组织实施。</w:t>
      </w:r>
    </w:p>
    <w:p>
      <w:pPr>
        <w:pStyle w:val="11"/>
        <w:bidi w:val="0"/>
      </w:pPr>
      <w:r>
        <w:t>（十</w:t>
      </w:r>
      <w:r>
        <w:rPr>
          <w:rFonts w:hint="eastAsia"/>
          <w:lang w:eastAsia="zh-CN"/>
        </w:rPr>
        <w:t>二</w:t>
      </w:r>
      <w:r>
        <w:t>）组织实施全市卫生</w:t>
      </w:r>
      <w:r>
        <w:rPr>
          <w:rFonts w:hint="eastAsia"/>
          <w:lang w:eastAsia="zh-CN"/>
        </w:rPr>
        <w:t>健康</w:t>
      </w:r>
      <w:r>
        <w:t>科技发展规划和相关科研项目。组织落实医学教育发展规划，组织实施毕业后医学教育和继续医学教育。</w:t>
      </w:r>
    </w:p>
    <w:p>
      <w:pPr>
        <w:pStyle w:val="11"/>
        <w:bidi w:val="0"/>
        <w:sectPr>
          <w:pgSz w:w="11910" w:h="16840"/>
          <w:pgMar w:top="1500" w:right="1380" w:bottom="280" w:left="1580" w:header="720" w:footer="720" w:gutter="0"/>
          <w:cols w:space="720" w:num="1"/>
        </w:sectPr>
      </w:pPr>
    </w:p>
    <w:p>
      <w:pPr>
        <w:pStyle w:val="11"/>
        <w:bidi w:val="0"/>
      </w:pPr>
      <w:r>
        <w:t>（十</w:t>
      </w:r>
      <w:r>
        <w:rPr>
          <w:rFonts w:hint="eastAsia"/>
          <w:lang w:eastAsia="zh-CN"/>
        </w:rPr>
        <w:t>三</w:t>
      </w:r>
      <w:r>
        <w:t>）督促指导全市卫生</w:t>
      </w:r>
      <w:r>
        <w:rPr>
          <w:rFonts w:hint="eastAsia"/>
          <w:lang w:eastAsia="zh-CN"/>
        </w:rPr>
        <w:t>健康</w:t>
      </w:r>
      <w:r>
        <w:t>工作，完善综合监督执法体系，规范执法行为，监督检查法律法规和政策措施 的落实，组织查处卫生和计划生育方面的违法行为。监督 落实计划生育“一票否决”制。</w:t>
      </w:r>
    </w:p>
    <w:p>
      <w:pPr>
        <w:pStyle w:val="11"/>
        <w:bidi w:val="0"/>
      </w:pPr>
      <w:r>
        <w:t>（十</w:t>
      </w:r>
      <w:r>
        <w:rPr>
          <w:rFonts w:hint="eastAsia"/>
          <w:lang w:eastAsia="zh-CN"/>
        </w:rPr>
        <w:t>四</w:t>
      </w:r>
      <w:r>
        <w:t>）负责组织全市卫生</w:t>
      </w:r>
      <w:r>
        <w:rPr>
          <w:rFonts w:hint="eastAsia"/>
          <w:lang w:eastAsia="zh-CN"/>
        </w:rPr>
        <w:t>健康</w:t>
      </w:r>
      <w:r>
        <w:t>宣传、健康教育、 健康促进和信息化建设等工作，依法组织实施统计调查。</w:t>
      </w:r>
    </w:p>
    <w:p>
      <w:pPr>
        <w:pStyle w:val="11"/>
        <w:bidi w:val="0"/>
      </w:pPr>
      <w:r>
        <w:t>（十</w:t>
      </w:r>
      <w:r>
        <w:rPr>
          <w:rFonts w:hint="eastAsia"/>
          <w:lang w:eastAsia="zh-CN"/>
        </w:rPr>
        <w:t>五</w:t>
      </w:r>
      <w:r>
        <w:t>） 贯彻落实中西医并重方针，组织实施市中医药事业中长期发展规划，推进中医药事业持续发展。</w:t>
      </w:r>
    </w:p>
    <w:p>
      <w:pPr>
        <w:pStyle w:val="11"/>
        <w:bidi w:val="0"/>
      </w:pPr>
      <w:r>
        <w:t>（十</w:t>
      </w:r>
      <w:r>
        <w:rPr>
          <w:rFonts w:hint="eastAsia"/>
          <w:lang w:eastAsia="zh-CN"/>
        </w:rPr>
        <w:t>六</w:t>
      </w:r>
      <w:r>
        <w:t>）负责重要来宾、重要会议与重大活动的医疗卫生保障工作。</w:t>
      </w:r>
    </w:p>
    <w:p>
      <w:pPr>
        <w:pStyle w:val="11"/>
        <w:bidi w:val="0"/>
      </w:pPr>
      <w:r>
        <w:t>（十</w:t>
      </w:r>
      <w:r>
        <w:rPr>
          <w:rFonts w:hint="eastAsia"/>
          <w:lang w:eastAsia="zh-CN"/>
        </w:rPr>
        <w:t>七</w:t>
      </w:r>
      <w:r>
        <w:t>）承担市爱国卫生委员会办公室和市深化医药卫生体制改革领导小组的日常工作。</w:t>
      </w:r>
    </w:p>
    <w:p>
      <w:pPr>
        <w:pStyle w:val="11"/>
        <w:bidi w:val="0"/>
        <w:rPr>
          <w:lang w:val="zh-CN" w:eastAsia="zh-CN"/>
        </w:rPr>
      </w:pPr>
      <w:r>
        <w:rPr>
          <w:lang w:val="zh-CN" w:eastAsia="zh-CN"/>
        </w:rPr>
        <w:t>（十</w:t>
      </w:r>
      <w:r>
        <w:rPr>
          <w:rFonts w:hint="eastAsia"/>
          <w:lang w:val="zh-CN" w:eastAsia="zh-CN"/>
        </w:rPr>
        <w:t>八</w:t>
      </w:r>
      <w:r>
        <w:rPr>
          <w:lang w:val="zh-CN" w:eastAsia="zh-CN"/>
        </w:rPr>
        <w:t>）承办市人民政府交办的其他事项。</w:t>
      </w: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pStyle w:val="11"/>
        <w:bidi w:val="0"/>
        <w:rPr>
          <w:rFonts w:hint="eastAsia"/>
          <w:lang w:val="zh-CN" w:eastAsia="zh-CN"/>
        </w:rPr>
      </w:pPr>
      <w:r>
        <w:rPr>
          <w:rFonts w:hint="eastAsia"/>
          <w:lang w:val="zh-CN" w:eastAsia="zh-CN"/>
        </w:rPr>
        <w:t>（一）内设机构设置</w:t>
      </w:r>
    </w:p>
    <w:p>
      <w:pPr>
        <w:pStyle w:val="11"/>
        <w:bidi w:val="0"/>
        <w:rPr>
          <w:rFonts w:hint="eastAsia"/>
          <w:lang w:val="zh-CN" w:eastAsia="zh-CN"/>
        </w:rPr>
      </w:pPr>
      <w:r>
        <w:rPr>
          <w:rFonts w:hint="eastAsia"/>
          <w:lang w:val="zh-CN" w:eastAsia="zh-CN"/>
        </w:rPr>
        <w:t xml:space="preserve">湘乡市卫健局机关内设机构：内设股室 16 个。包括办公室、人事股、财务股、规信股、体改股、药政股、法监股、医政医管股、中医股、疾控股、基层卫生股、妇幼卫生股、家庭发展股、宣教股、爱卫股、药具股。二级未独立核算单位 </w:t>
      </w:r>
      <w:r>
        <w:rPr>
          <w:rFonts w:hint="eastAsia"/>
          <w:lang w:val="en-US" w:eastAsia="zh-CN"/>
        </w:rPr>
        <w:t>3</w:t>
      </w:r>
      <w:r>
        <w:rPr>
          <w:rFonts w:hint="eastAsia"/>
          <w:lang w:val="zh-CN" w:eastAsia="zh-CN"/>
        </w:rPr>
        <w:t xml:space="preserve"> 个：乡财管集中核算中心、湘乡市医疗紧急救援中心、湘乡市健康促进中心。</w:t>
      </w:r>
    </w:p>
    <w:p>
      <w:pPr>
        <w:pStyle w:val="11"/>
        <w:bidi w:val="0"/>
        <w:rPr>
          <w:rFonts w:hint="eastAsia" w:eastAsia="仿宋"/>
          <w:lang w:eastAsia="zh-CN"/>
        </w:rPr>
      </w:pPr>
      <w:r>
        <w:rPr>
          <w:rFonts w:hint="eastAsia"/>
          <w:lang w:eastAsia="zh-CN"/>
        </w:rPr>
        <w:t>（二）</w:t>
      </w:r>
      <w:r>
        <w:rPr>
          <w:rFonts w:hint="eastAsia"/>
        </w:rPr>
        <w:t>决算单位构成</w:t>
      </w:r>
    </w:p>
    <w:p>
      <w:pPr>
        <w:pStyle w:val="11"/>
        <w:bidi w:val="0"/>
        <w:rPr>
          <w:rFonts w:hint="eastAsia"/>
          <w:lang w:val="zh-CN" w:eastAsia="zh-CN"/>
        </w:rPr>
      </w:pPr>
      <w:r>
        <w:rPr>
          <w:rFonts w:hint="eastAsia"/>
          <w:lang w:val="zh-CN" w:eastAsia="zh-CN"/>
        </w:rPr>
        <w:t>湘乡市卫健局2021年部门决算公开单位包括：湘乡市卫生健康局单位本级</w:t>
      </w:r>
    </w:p>
    <w:p>
      <w:pPr>
        <w:ind w:firstLine="960" w:firstLineChars="300"/>
        <w:jc w:val="left"/>
        <w:rPr>
          <w:rFonts w:hint="eastAsia" w:ascii="仿宋" w:hAnsi="仿宋" w:eastAsia="仿宋" w:cs="仿宋"/>
          <w:color w:val="444444"/>
          <w:kern w:val="2"/>
          <w:sz w:val="32"/>
          <w:szCs w:val="32"/>
          <w:lang w:val="zh-CN" w:eastAsia="zh-CN" w:bidi="zh-CN"/>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9"/>
        <w:tblW w:w="15428" w:type="dxa"/>
        <w:tblInd w:w="0" w:type="dxa"/>
        <w:tblLayout w:type="fixed"/>
        <w:tblCellMar>
          <w:top w:w="0" w:type="dxa"/>
          <w:left w:w="0" w:type="dxa"/>
          <w:bottom w:w="0" w:type="dxa"/>
          <w:right w:w="0" w:type="dxa"/>
        </w:tblCellMar>
      </w:tblPr>
      <w:tblGrid>
        <w:gridCol w:w="383"/>
        <w:gridCol w:w="189"/>
        <w:gridCol w:w="400"/>
        <w:gridCol w:w="1875"/>
        <w:gridCol w:w="1530"/>
        <w:gridCol w:w="1890"/>
        <w:gridCol w:w="1620"/>
        <w:gridCol w:w="1650"/>
        <w:gridCol w:w="1594"/>
        <w:gridCol w:w="2412"/>
        <w:gridCol w:w="1885"/>
      </w:tblGrid>
      <w:tr>
        <w:tblPrEx>
          <w:tblCellMar>
            <w:top w:w="0" w:type="dxa"/>
            <w:left w:w="0" w:type="dxa"/>
            <w:bottom w:w="0" w:type="dxa"/>
            <w:right w:w="0" w:type="dxa"/>
          </w:tblCellMar>
        </w:tblPrEx>
        <w:trPr>
          <w:trHeight w:val="435" w:hRule="atLeast"/>
        </w:trPr>
        <w:tc>
          <w:tcPr>
            <w:tcW w:w="15428" w:type="dxa"/>
            <w:gridSpan w:val="11"/>
            <w:tcBorders>
              <w:top w:val="nil"/>
              <w:left w:val="nil"/>
              <w:bottom w:val="nil"/>
              <w:right w:val="nil"/>
            </w:tcBorders>
            <w:shd w:val="clear" w:color="auto" w:fill="auto"/>
            <w:noWrap/>
            <w:tcMar>
              <w:top w:w="15" w:type="dxa"/>
              <w:left w:w="15" w:type="dxa"/>
              <w:bottom w:w="0" w:type="dxa"/>
              <w:right w:w="15" w:type="dxa"/>
            </w:tcMar>
            <w:vAlign w:val="center"/>
          </w:tcPr>
          <w:tbl>
            <w:tblPr>
              <w:tblStyle w:val="9"/>
              <w:tblW w:w="14671" w:type="dxa"/>
              <w:tblInd w:w="93" w:type="dxa"/>
              <w:tblLayout w:type="fixed"/>
              <w:tblCellMar>
                <w:top w:w="0" w:type="dxa"/>
                <w:left w:w="108" w:type="dxa"/>
                <w:bottom w:w="0" w:type="dxa"/>
                <w:right w:w="108" w:type="dxa"/>
              </w:tblCellMar>
            </w:tblPr>
            <w:tblGrid>
              <w:gridCol w:w="4119"/>
              <w:gridCol w:w="870"/>
              <w:gridCol w:w="217"/>
              <w:gridCol w:w="1283"/>
              <w:gridCol w:w="236"/>
              <w:gridCol w:w="3214"/>
              <w:gridCol w:w="1140"/>
              <w:gridCol w:w="1419"/>
              <w:gridCol w:w="657"/>
              <w:gridCol w:w="1344"/>
              <w:gridCol w:w="172"/>
            </w:tblGrid>
            <w:tr>
              <w:tblPrEx>
                <w:tblCellMar>
                  <w:top w:w="0" w:type="dxa"/>
                  <w:left w:w="108" w:type="dxa"/>
                  <w:bottom w:w="0" w:type="dxa"/>
                  <w:right w:w="108" w:type="dxa"/>
                </w:tblCellMar>
              </w:tblPrEx>
              <w:trPr>
                <w:gridAfter w:val="1"/>
                <w:wAfter w:w="172" w:type="dxa"/>
                <w:trHeight w:val="549" w:hRule="atLeast"/>
              </w:trPr>
              <w:tc>
                <w:tcPr>
                  <w:tcW w:w="14499" w:type="dxa"/>
                  <w:gridSpan w:val="10"/>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收入支出决算总表</w:t>
                  </w:r>
                </w:p>
              </w:tc>
            </w:tr>
            <w:tr>
              <w:tblPrEx>
                <w:tblCellMar>
                  <w:top w:w="0" w:type="dxa"/>
                  <w:left w:w="108" w:type="dxa"/>
                  <w:bottom w:w="0" w:type="dxa"/>
                  <w:right w:w="108" w:type="dxa"/>
                </w:tblCellMar>
              </w:tblPrEx>
              <w:trPr>
                <w:trHeight w:val="237" w:hRule="atLeast"/>
              </w:trPr>
              <w:tc>
                <w:tcPr>
                  <w:tcW w:w="5206"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8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6"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公开01表</w:t>
                  </w:r>
                </w:p>
              </w:tc>
            </w:tr>
            <w:tr>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r>
                    <w:rPr>
                      <w:rFonts w:ascii="宋体" w:hAnsi="宋体" w:eastAsia="宋体" w:cs="宋体"/>
                      <w:color w:val="000000"/>
                      <w:kern w:val="0"/>
                      <w:sz w:val="20"/>
                      <w:szCs w:val="20"/>
                    </w:rPr>
                    <w:t xml:space="preserve"> </w:t>
                  </w:r>
                </w:p>
              </w:tc>
              <w:tc>
                <w:tcPr>
                  <w:tcW w:w="128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6"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gridAfter w:val="1"/>
                <w:wAfter w:w="172" w:type="dxa"/>
                <w:trHeight w:val="340" w:hRule="atLeast"/>
              </w:trPr>
              <w:tc>
                <w:tcPr>
                  <w:tcW w:w="6489"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8010" w:type="dxa"/>
                  <w:gridSpan w:val="6"/>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gridAfter w:val="1"/>
                <w:wAfter w:w="172" w:type="dxa"/>
                <w:trHeight w:val="489" w:hRule="atLeast"/>
              </w:trPr>
              <w:tc>
                <w:tcPr>
                  <w:tcW w:w="411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87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0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c>
                <w:tcPr>
                  <w:tcW w:w="345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14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3420"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r>
            <w:tr>
              <w:tblPrEx>
                <w:tblCellMar>
                  <w:top w:w="0" w:type="dxa"/>
                  <w:left w:w="108" w:type="dxa"/>
                  <w:bottom w:w="0" w:type="dxa"/>
                  <w:right w:w="108" w:type="dxa"/>
                </w:tblCellMar>
              </w:tblPrEx>
              <w:trPr>
                <w:gridAfter w:val="1"/>
                <w:wAfter w:w="172" w:type="dxa"/>
                <w:trHeight w:val="340" w:hRule="atLeast"/>
              </w:trPr>
              <w:tc>
                <w:tcPr>
                  <w:tcW w:w="411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87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0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5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14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420"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r>
            <w:tr>
              <w:tblPrEx>
                <w:tblCellMar>
                  <w:top w:w="0" w:type="dxa"/>
                  <w:left w:w="108" w:type="dxa"/>
                  <w:bottom w:w="0" w:type="dxa"/>
                  <w:right w:w="108" w:type="dxa"/>
                </w:tblCellMar>
              </w:tblPrEx>
              <w:trPr>
                <w:gridAfter w:val="1"/>
                <w:wAfter w:w="172" w:type="dxa"/>
                <w:trHeight w:val="340" w:hRule="atLeast"/>
              </w:trPr>
              <w:tc>
                <w:tcPr>
                  <w:tcW w:w="411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一、一般公共预算财政拨款收入</w:t>
                  </w:r>
                </w:p>
              </w:tc>
              <w:tc>
                <w:tcPr>
                  <w:tcW w:w="87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50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1,135.25</w:t>
                  </w:r>
                </w:p>
              </w:tc>
              <w:tc>
                <w:tcPr>
                  <w:tcW w:w="3450"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14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31</w:t>
                  </w:r>
                </w:p>
              </w:tc>
              <w:tc>
                <w:tcPr>
                  <w:tcW w:w="342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gridAfter w:val="1"/>
                <w:wAfter w:w="172" w:type="dxa"/>
                <w:trHeight w:val="340" w:hRule="atLeast"/>
              </w:trPr>
              <w:tc>
                <w:tcPr>
                  <w:tcW w:w="4119"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二、政府性基金预算财政拨款收入</w:t>
                  </w:r>
                </w:p>
              </w:tc>
              <w:tc>
                <w:tcPr>
                  <w:tcW w:w="87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50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0.00</w:t>
                  </w:r>
                </w:p>
              </w:tc>
              <w:tc>
                <w:tcPr>
                  <w:tcW w:w="3450"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14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32</w:t>
                  </w:r>
                </w:p>
              </w:tc>
              <w:tc>
                <w:tcPr>
                  <w:tcW w:w="342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gridAfter w:val="1"/>
                <w:wAfter w:w="172" w:type="dxa"/>
                <w:trHeight w:val="340" w:hRule="atLeast"/>
              </w:trPr>
              <w:tc>
                <w:tcPr>
                  <w:tcW w:w="411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三、国有资本经营预算财政拨款收入</w:t>
                  </w:r>
                </w:p>
              </w:tc>
              <w:tc>
                <w:tcPr>
                  <w:tcW w:w="87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50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0.00</w:t>
                  </w:r>
                </w:p>
              </w:tc>
              <w:tc>
                <w:tcPr>
                  <w:tcW w:w="3450"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14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33</w:t>
                  </w:r>
                </w:p>
              </w:tc>
              <w:tc>
                <w:tcPr>
                  <w:tcW w:w="342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gridAfter w:val="1"/>
                <w:wAfter w:w="172" w:type="dxa"/>
                <w:trHeight w:val="340" w:hRule="atLeast"/>
              </w:trPr>
              <w:tc>
                <w:tcPr>
                  <w:tcW w:w="4119"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四、上级补助收入</w:t>
                  </w:r>
                </w:p>
              </w:tc>
              <w:tc>
                <w:tcPr>
                  <w:tcW w:w="87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50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0.00</w:t>
                  </w:r>
                </w:p>
              </w:tc>
              <w:tc>
                <w:tcPr>
                  <w:tcW w:w="3450"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14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34</w:t>
                  </w:r>
                </w:p>
              </w:tc>
              <w:tc>
                <w:tcPr>
                  <w:tcW w:w="342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gridAfter w:val="1"/>
                <w:wAfter w:w="172" w:type="dxa"/>
                <w:trHeight w:val="340" w:hRule="atLeast"/>
              </w:trPr>
              <w:tc>
                <w:tcPr>
                  <w:tcW w:w="4119"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五、事业收入</w:t>
                  </w:r>
                </w:p>
              </w:tc>
              <w:tc>
                <w:tcPr>
                  <w:tcW w:w="87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50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0.00</w:t>
                  </w:r>
                </w:p>
              </w:tc>
              <w:tc>
                <w:tcPr>
                  <w:tcW w:w="3450"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14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35</w:t>
                  </w:r>
                </w:p>
              </w:tc>
              <w:tc>
                <w:tcPr>
                  <w:tcW w:w="342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kern w:val="0"/>
                      <w:sz w:val="22"/>
                      <w:lang w:val="en-US"/>
                    </w:rPr>
                  </w:pPr>
                  <w:r>
                    <w:rPr>
                      <w:rFonts w:hint="eastAsia" w:ascii="宋体" w:hAnsi="宋体" w:eastAsia="宋体" w:cs="宋体"/>
                      <w:i w:val="0"/>
                      <w:iCs w:val="0"/>
                      <w:color w:val="000000"/>
                      <w:kern w:val="0"/>
                      <w:sz w:val="22"/>
                      <w:szCs w:val="22"/>
                      <w:u w:val="none"/>
                      <w:lang w:val="en-US" w:eastAsia="zh-CN" w:bidi="ar"/>
                    </w:rPr>
                    <w:t>10.00</w:t>
                  </w:r>
                </w:p>
              </w:tc>
            </w:tr>
            <w:tr>
              <w:tblPrEx>
                <w:tblCellMar>
                  <w:top w:w="0" w:type="dxa"/>
                  <w:left w:w="108" w:type="dxa"/>
                  <w:bottom w:w="0" w:type="dxa"/>
                  <w:right w:w="108" w:type="dxa"/>
                </w:tblCellMar>
              </w:tblPrEx>
              <w:trPr>
                <w:gridAfter w:val="1"/>
                <w:wAfter w:w="172" w:type="dxa"/>
                <w:trHeight w:val="340" w:hRule="atLeast"/>
              </w:trPr>
              <w:tc>
                <w:tcPr>
                  <w:tcW w:w="4119"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六、经营收入</w:t>
                  </w:r>
                </w:p>
              </w:tc>
              <w:tc>
                <w:tcPr>
                  <w:tcW w:w="87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50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0.00</w:t>
                  </w:r>
                </w:p>
              </w:tc>
              <w:tc>
                <w:tcPr>
                  <w:tcW w:w="3450"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114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36</w:t>
                  </w:r>
                </w:p>
              </w:tc>
              <w:tc>
                <w:tcPr>
                  <w:tcW w:w="3420" w:type="dxa"/>
                  <w:gridSpan w:val="3"/>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r>
            <w:tr>
              <w:tblPrEx>
                <w:tblCellMar>
                  <w:top w:w="0" w:type="dxa"/>
                  <w:left w:w="108" w:type="dxa"/>
                  <w:bottom w:w="0" w:type="dxa"/>
                  <w:right w:w="108" w:type="dxa"/>
                </w:tblCellMar>
              </w:tblPrEx>
              <w:trPr>
                <w:gridAfter w:val="1"/>
                <w:wAfter w:w="172" w:type="dxa"/>
                <w:trHeight w:val="340" w:hRule="atLeast"/>
              </w:trPr>
              <w:tc>
                <w:tcPr>
                  <w:tcW w:w="4119"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七、附属单位上缴收入</w:t>
                  </w:r>
                </w:p>
              </w:tc>
              <w:tc>
                <w:tcPr>
                  <w:tcW w:w="87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50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0.00</w:t>
                  </w:r>
                </w:p>
              </w:tc>
              <w:tc>
                <w:tcPr>
                  <w:tcW w:w="34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r>
                    <w:rPr>
                      <w:rFonts w:hint="eastAsia"/>
                    </w:rPr>
                    <w:t>七、文化旅游体育与传媒支出</w:t>
                  </w:r>
                </w:p>
              </w:tc>
              <w:tc>
                <w:tcPr>
                  <w:tcW w:w="114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37</w:t>
                  </w:r>
                </w:p>
              </w:tc>
              <w:tc>
                <w:tcPr>
                  <w:tcW w:w="3420" w:type="dxa"/>
                  <w:gridSpan w:val="3"/>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r>
            <w:tr>
              <w:tblPrEx>
                <w:tblCellMar>
                  <w:top w:w="0" w:type="dxa"/>
                  <w:left w:w="108" w:type="dxa"/>
                  <w:bottom w:w="0" w:type="dxa"/>
                  <w:right w:w="108" w:type="dxa"/>
                </w:tblCellMar>
              </w:tblPrEx>
              <w:trPr>
                <w:gridAfter w:val="1"/>
                <w:wAfter w:w="172" w:type="dxa"/>
                <w:trHeight w:val="340" w:hRule="atLeast"/>
              </w:trPr>
              <w:tc>
                <w:tcPr>
                  <w:tcW w:w="4119"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八、其他收入</w:t>
                  </w:r>
                </w:p>
              </w:tc>
              <w:tc>
                <w:tcPr>
                  <w:tcW w:w="87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50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0.00</w:t>
                  </w:r>
                </w:p>
              </w:tc>
              <w:tc>
                <w:tcPr>
                  <w:tcW w:w="34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八、社会保障和就业支出</w:t>
                  </w:r>
                </w:p>
              </w:tc>
              <w:tc>
                <w:tcPr>
                  <w:tcW w:w="114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38</w:t>
                  </w:r>
                </w:p>
              </w:tc>
              <w:tc>
                <w:tcPr>
                  <w:tcW w:w="342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59.94</w:t>
                  </w:r>
                </w:p>
              </w:tc>
            </w:tr>
            <w:tr>
              <w:tblPrEx>
                <w:tblCellMar>
                  <w:top w:w="0" w:type="dxa"/>
                  <w:left w:w="108" w:type="dxa"/>
                  <w:bottom w:w="0" w:type="dxa"/>
                  <w:right w:w="108" w:type="dxa"/>
                </w:tblCellMar>
              </w:tblPrEx>
              <w:trPr>
                <w:gridAfter w:val="1"/>
                <w:wAfter w:w="172" w:type="dxa"/>
                <w:trHeight w:val="340" w:hRule="atLeast"/>
              </w:trPr>
              <w:tc>
                <w:tcPr>
                  <w:tcW w:w="4119"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870"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9</w:t>
                  </w:r>
                </w:p>
              </w:tc>
              <w:tc>
                <w:tcPr>
                  <w:tcW w:w="1500"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45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九、卫生健康支出</w:t>
                  </w:r>
                </w:p>
              </w:tc>
              <w:tc>
                <w:tcPr>
                  <w:tcW w:w="114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39</w:t>
                  </w:r>
                </w:p>
              </w:tc>
              <w:tc>
                <w:tcPr>
                  <w:tcW w:w="342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kern w:val="0"/>
                      <w:sz w:val="22"/>
                      <w:lang w:val="en-US" w:eastAsia="zh-CN"/>
                    </w:rPr>
                  </w:pPr>
                  <w:r>
                    <w:rPr>
                      <w:rFonts w:hint="eastAsia" w:ascii="宋体" w:hAnsi="宋体" w:eastAsia="宋体" w:cs="宋体"/>
                      <w:i w:val="0"/>
                      <w:iCs w:val="0"/>
                      <w:color w:val="000000"/>
                      <w:kern w:val="0"/>
                      <w:sz w:val="22"/>
                      <w:szCs w:val="22"/>
                      <w:u w:val="none"/>
                      <w:lang w:val="en-US" w:eastAsia="zh-CN" w:bidi="ar"/>
                    </w:rPr>
                    <w:t>1,522.27</w:t>
                  </w:r>
                </w:p>
              </w:tc>
            </w:tr>
            <w:tr>
              <w:tblPrEx>
                <w:tblCellMar>
                  <w:top w:w="0" w:type="dxa"/>
                  <w:left w:w="108" w:type="dxa"/>
                  <w:bottom w:w="0" w:type="dxa"/>
                  <w:right w:w="108" w:type="dxa"/>
                </w:tblCellMar>
              </w:tblPrEx>
              <w:trPr>
                <w:gridAfter w:val="1"/>
                <w:wAfter w:w="172" w:type="dxa"/>
                <w:trHeight w:val="355" w:hRule="atLeast"/>
              </w:trPr>
              <w:tc>
                <w:tcPr>
                  <w:tcW w:w="4119"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87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10</w:t>
                  </w:r>
                </w:p>
              </w:tc>
              <w:tc>
                <w:tcPr>
                  <w:tcW w:w="1500"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45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十、节能环保支出</w:t>
                  </w:r>
                </w:p>
              </w:tc>
              <w:tc>
                <w:tcPr>
                  <w:tcW w:w="114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40</w:t>
                  </w:r>
                </w:p>
              </w:tc>
              <w:tc>
                <w:tcPr>
                  <w:tcW w:w="342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gridAfter w:val="1"/>
                <w:wAfter w:w="172" w:type="dxa"/>
                <w:trHeight w:val="340" w:hRule="atLeast"/>
              </w:trPr>
              <w:tc>
                <w:tcPr>
                  <w:tcW w:w="4119"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87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11</w:t>
                  </w:r>
                </w:p>
              </w:tc>
              <w:tc>
                <w:tcPr>
                  <w:tcW w:w="1500"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45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十一、城乡社区支出</w:t>
                  </w:r>
                </w:p>
              </w:tc>
              <w:tc>
                <w:tcPr>
                  <w:tcW w:w="114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41</w:t>
                  </w:r>
                </w:p>
              </w:tc>
              <w:tc>
                <w:tcPr>
                  <w:tcW w:w="342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gridAfter w:val="1"/>
                <w:wAfter w:w="172" w:type="dxa"/>
                <w:trHeight w:val="340" w:hRule="atLeast"/>
              </w:trPr>
              <w:tc>
                <w:tcPr>
                  <w:tcW w:w="4119"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87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12</w:t>
                  </w:r>
                </w:p>
              </w:tc>
              <w:tc>
                <w:tcPr>
                  <w:tcW w:w="1500"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45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十二、农林水支出</w:t>
                  </w:r>
                </w:p>
              </w:tc>
              <w:tc>
                <w:tcPr>
                  <w:tcW w:w="114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42</w:t>
                  </w:r>
                </w:p>
              </w:tc>
              <w:tc>
                <w:tcPr>
                  <w:tcW w:w="342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gridAfter w:val="1"/>
                <w:wAfter w:w="172" w:type="dxa"/>
                <w:trHeight w:val="340" w:hRule="atLeast"/>
              </w:trPr>
              <w:tc>
                <w:tcPr>
                  <w:tcW w:w="4119"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87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13</w:t>
                  </w:r>
                </w:p>
              </w:tc>
              <w:tc>
                <w:tcPr>
                  <w:tcW w:w="1500"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45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十三、交通运输支出</w:t>
                  </w:r>
                </w:p>
              </w:tc>
              <w:tc>
                <w:tcPr>
                  <w:tcW w:w="114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43</w:t>
                  </w:r>
                </w:p>
              </w:tc>
              <w:tc>
                <w:tcPr>
                  <w:tcW w:w="342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gridAfter w:val="1"/>
                <w:wAfter w:w="172" w:type="dxa"/>
                <w:trHeight w:val="340" w:hRule="atLeast"/>
              </w:trPr>
              <w:tc>
                <w:tcPr>
                  <w:tcW w:w="4119"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87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14</w:t>
                  </w:r>
                </w:p>
              </w:tc>
              <w:tc>
                <w:tcPr>
                  <w:tcW w:w="1500"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45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十四、资源勘探工业信息等支出</w:t>
                  </w:r>
                </w:p>
              </w:tc>
              <w:tc>
                <w:tcPr>
                  <w:tcW w:w="114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44</w:t>
                  </w:r>
                </w:p>
              </w:tc>
              <w:tc>
                <w:tcPr>
                  <w:tcW w:w="342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gridAfter w:val="1"/>
                <w:wAfter w:w="172" w:type="dxa"/>
                <w:trHeight w:val="340" w:hRule="atLeast"/>
              </w:trPr>
              <w:tc>
                <w:tcPr>
                  <w:tcW w:w="4119"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87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15</w:t>
                  </w:r>
                </w:p>
              </w:tc>
              <w:tc>
                <w:tcPr>
                  <w:tcW w:w="1500"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45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十五、商业服务业等支出</w:t>
                  </w:r>
                </w:p>
              </w:tc>
              <w:tc>
                <w:tcPr>
                  <w:tcW w:w="114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45</w:t>
                  </w:r>
                </w:p>
              </w:tc>
              <w:tc>
                <w:tcPr>
                  <w:tcW w:w="342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gridAfter w:val="1"/>
                <w:wAfter w:w="172" w:type="dxa"/>
                <w:trHeight w:val="340" w:hRule="atLeast"/>
              </w:trPr>
              <w:tc>
                <w:tcPr>
                  <w:tcW w:w="4119"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87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16</w:t>
                  </w:r>
                </w:p>
              </w:tc>
              <w:tc>
                <w:tcPr>
                  <w:tcW w:w="1500"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45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十六、金融支出</w:t>
                  </w:r>
                </w:p>
              </w:tc>
              <w:tc>
                <w:tcPr>
                  <w:tcW w:w="114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46</w:t>
                  </w:r>
                </w:p>
              </w:tc>
              <w:tc>
                <w:tcPr>
                  <w:tcW w:w="342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gridAfter w:val="1"/>
                <w:wAfter w:w="172" w:type="dxa"/>
                <w:trHeight w:val="340" w:hRule="atLeast"/>
              </w:trPr>
              <w:tc>
                <w:tcPr>
                  <w:tcW w:w="4119"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87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17</w:t>
                  </w:r>
                </w:p>
              </w:tc>
              <w:tc>
                <w:tcPr>
                  <w:tcW w:w="1500"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45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十七、援助其他地区支出</w:t>
                  </w:r>
                </w:p>
              </w:tc>
              <w:tc>
                <w:tcPr>
                  <w:tcW w:w="114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47</w:t>
                  </w:r>
                </w:p>
              </w:tc>
              <w:tc>
                <w:tcPr>
                  <w:tcW w:w="342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gridAfter w:val="1"/>
                <w:wAfter w:w="172" w:type="dxa"/>
                <w:trHeight w:val="340" w:hRule="atLeast"/>
              </w:trPr>
              <w:tc>
                <w:tcPr>
                  <w:tcW w:w="4119"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87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18</w:t>
                  </w:r>
                </w:p>
              </w:tc>
              <w:tc>
                <w:tcPr>
                  <w:tcW w:w="1500"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45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十八、自然资源海洋气象等支出</w:t>
                  </w:r>
                </w:p>
              </w:tc>
              <w:tc>
                <w:tcPr>
                  <w:tcW w:w="114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48</w:t>
                  </w:r>
                </w:p>
              </w:tc>
              <w:tc>
                <w:tcPr>
                  <w:tcW w:w="342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gridAfter w:val="1"/>
                <w:wAfter w:w="172" w:type="dxa"/>
                <w:trHeight w:val="340" w:hRule="atLeast"/>
              </w:trPr>
              <w:tc>
                <w:tcPr>
                  <w:tcW w:w="4119"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87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19</w:t>
                  </w:r>
                </w:p>
              </w:tc>
              <w:tc>
                <w:tcPr>
                  <w:tcW w:w="1500"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45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十九、住房保障支出</w:t>
                  </w:r>
                </w:p>
              </w:tc>
              <w:tc>
                <w:tcPr>
                  <w:tcW w:w="114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49</w:t>
                  </w:r>
                </w:p>
              </w:tc>
              <w:tc>
                <w:tcPr>
                  <w:tcW w:w="342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31.08</w:t>
                  </w:r>
                </w:p>
              </w:tc>
            </w:tr>
            <w:tr>
              <w:tblPrEx>
                <w:tblCellMar>
                  <w:top w:w="0" w:type="dxa"/>
                  <w:left w:w="108" w:type="dxa"/>
                  <w:bottom w:w="0" w:type="dxa"/>
                  <w:right w:w="108" w:type="dxa"/>
                </w:tblCellMar>
              </w:tblPrEx>
              <w:trPr>
                <w:gridAfter w:val="1"/>
                <w:wAfter w:w="172" w:type="dxa"/>
                <w:trHeight w:val="340" w:hRule="atLeast"/>
              </w:trPr>
              <w:tc>
                <w:tcPr>
                  <w:tcW w:w="4119"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87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20</w:t>
                  </w:r>
                </w:p>
              </w:tc>
              <w:tc>
                <w:tcPr>
                  <w:tcW w:w="1500"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45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二十、粮油物资储备支出</w:t>
                  </w:r>
                </w:p>
              </w:tc>
              <w:tc>
                <w:tcPr>
                  <w:tcW w:w="114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50</w:t>
                  </w:r>
                </w:p>
              </w:tc>
              <w:tc>
                <w:tcPr>
                  <w:tcW w:w="342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gridAfter w:val="1"/>
                <w:wAfter w:w="172" w:type="dxa"/>
                <w:trHeight w:val="340" w:hRule="atLeast"/>
              </w:trPr>
              <w:tc>
                <w:tcPr>
                  <w:tcW w:w="4119"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87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21</w:t>
                  </w:r>
                </w:p>
              </w:tc>
              <w:tc>
                <w:tcPr>
                  <w:tcW w:w="1500"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45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二十一、国有资本经营预算支出</w:t>
                  </w:r>
                </w:p>
              </w:tc>
              <w:tc>
                <w:tcPr>
                  <w:tcW w:w="114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51</w:t>
                  </w:r>
                </w:p>
              </w:tc>
              <w:tc>
                <w:tcPr>
                  <w:tcW w:w="342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gridAfter w:val="1"/>
                <w:wAfter w:w="172" w:type="dxa"/>
                <w:trHeight w:val="340" w:hRule="atLeast"/>
              </w:trPr>
              <w:tc>
                <w:tcPr>
                  <w:tcW w:w="4119"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87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22</w:t>
                  </w:r>
                </w:p>
              </w:tc>
              <w:tc>
                <w:tcPr>
                  <w:tcW w:w="1500"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45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二十二、灾害防治及应急管理支出</w:t>
                  </w:r>
                </w:p>
              </w:tc>
              <w:tc>
                <w:tcPr>
                  <w:tcW w:w="114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52</w:t>
                  </w:r>
                </w:p>
              </w:tc>
              <w:tc>
                <w:tcPr>
                  <w:tcW w:w="342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gridAfter w:val="1"/>
                <w:wAfter w:w="172" w:type="dxa"/>
                <w:trHeight w:val="340" w:hRule="atLeast"/>
              </w:trPr>
              <w:tc>
                <w:tcPr>
                  <w:tcW w:w="4119"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87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23</w:t>
                  </w:r>
                </w:p>
              </w:tc>
              <w:tc>
                <w:tcPr>
                  <w:tcW w:w="1500"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45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二十三、其他支出</w:t>
                  </w:r>
                </w:p>
              </w:tc>
              <w:tc>
                <w:tcPr>
                  <w:tcW w:w="114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53</w:t>
                  </w:r>
                </w:p>
              </w:tc>
              <w:tc>
                <w:tcPr>
                  <w:tcW w:w="342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gridAfter w:val="1"/>
                <w:wAfter w:w="172" w:type="dxa"/>
                <w:trHeight w:val="340" w:hRule="atLeast"/>
              </w:trPr>
              <w:tc>
                <w:tcPr>
                  <w:tcW w:w="4119"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87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24</w:t>
                  </w:r>
                </w:p>
              </w:tc>
              <w:tc>
                <w:tcPr>
                  <w:tcW w:w="1500"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45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二十四、债务还本支出</w:t>
                  </w:r>
                </w:p>
              </w:tc>
              <w:tc>
                <w:tcPr>
                  <w:tcW w:w="114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54</w:t>
                  </w:r>
                </w:p>
              </w:tc>
              <w:tc>
                <w:tcPr>
                  <w:tcW w:w="342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gridAfter w:val="1"/>
                <w:wAfter w:w="172" w:type="dxa"/>
                <w:trHeight w:val="340" w:hRule="atLeast"/>
              </w:trPr>
              <w:tc>
                <w:tcPr>
                  <w:tcW w:w="4119"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87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25</w:t>
                  </w:r>
                </w:p>
              </w:tc>
              <w:tc>
                <w:tcPr>
                  <w:tcW w:w="1500"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45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二十五、债务付息支出</w:t>
                  </w:r>
                </w:p>
              </w:tc>
              <w:tc>
                <w:tcPr>
                  <w:tcW w:w="114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55</w:t>
                  </w:r>
                </w:p>
              </w:tc>
              <w:tc>
                <w:tcPr>
                  <w:tcW w:w="342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gridAfter w:val="1"/>
                <w:wAfter w:w="172" w:type="dxa"/>
                <w:trHeight w:val="340" w:hRule="atLeast"/>
              </w:trPr>
              <w:tc>
                <w:tcPr>
                  <w:tcW w:w="4119"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87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26</w:t>
                  </w:r>
                </w:p>
              </w:tc>
              <w:tc>
                <w:tcPr>
                  <w:tcW w:w="1500"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45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二十六、抗疫特别国债安排的支出</w:t>
                  </w:r>
                </w:p>
              </w:tc>
              <w:tc>
                <w:tcPr>
                  <w:tcW w:w="114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56</w:t>
                  </w:r>
                </w:p>
              </w:tc>
              <w:tc>
                <w:tcPr>
                  <w:tcW w:w="342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gridAfter w:val="1"/>
                <w:wAfter w:w="172" w:type="dxa"/>
                <w:trHeight w:val="340" w:hRule="atLeast"/>
              </w:trPr>
              <w:tc>
                <w:tcPr>
                  <w:tcW w:w="411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87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27</w:t>
                  </w:r>
                </w:p>
              </w:tc>
              <w:tc>
                <w:tcPr>
                  <w:tcW w:w="150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1,135.25</w:t>
                  </w:r>
                </w:p>
              </w:tc>
              <w:tc>
                <w:tcPr>
                  <w:tcW w:w="345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14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57</w:t>
                  </w:r>
                </w:p>
              </w:tc>
              <w:tc>
                <w:tcPr>
                  <w:tcW w:w="342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1,623.29</w:t>
                  </w:r>
                </w:p>
              </w:tc>
            </w:tr>
            <w:tr>
              <w:tblPrEx>
                <w:tblCellMar>
                  <w:top w:w="0" w:type="dxa"/>
                  <w:left w:w="108" w:type="dxa"/>
                  <w:bottom w:w="0" w:type="dxa"/>
                  <w:right w:w="108" w:type="dxa"/>
                </w:tblCellMar>
              </w:tblPrEx>
              <w:trPr>
                <w:gridAfter w:val="1"/>
                <w:wAfter w:w="172" w:type="dxa"/>
                <w:trHeight w:val="340" w:hRule="atLeast"/>
              </w:trPr>
              <w:tc>
                <w:tcPr>
                  <w:tcW w:w="411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使用非财政拨款结余</w:t>
                  </w:r>
                </w:p>
              </w:tc>
              <w:tc>
                <w:tcPr>
                  <w:tcW w:w="87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28</w:t>
                  </w:r>
                </w:p>
              </w:tc>
              <w:tc>
                <w:tcPr>
                  <w:tcW w:w="1500"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4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结余分配</w:t>
                  </w:r>
                </w:p>
              </w:tc>
              <w:tc>
                <w:tcPr>
                  <w:tcW w:w="114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58</w:t>
                  </w:r>
                </w:p>
              </w:tc>
              <w:tc>
                <w:tcPr>
                  <w:tcW w:w="3420" w:type="dxa"/>
                  <w:gridSpan w:val="3"/>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lang w:val="en-US" w:eastAsia="zh-CN"/>
                    </w:rPr>
                  </w:pPr>
                </w:p>
              </w:tc>
            </w:tr>
            <w:tr>
              <w:tblPrEx>
                <w:tblCellMar>
                  <w:top w:w="0" w:type="dxa"/>
                  <w:left w:w="108" w:type="dxa"/>
                  <w:bottom w:w="0" w:type="dxa"/>
                  <w:right w:w="108" w:type="dxa"/>
                </w:tblCellMar>
              </w:tblPrEx>
              <w:trPr>
                <w:gridAfter w:val="1"/>
                <w:wAfter w:w="172" w:type="dxa"/>
                <w:trHeight w:val="340" w:hRule="atLeast"/>
              </w:trPr>
              <w:tc>
                <w:tcPr>
                  <w:tcW w:w="411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年初结转和结余</w:t>
                  </w:r>
                </w:p>
              </w:tc>
              <w:tc>
                <w:tcPr>
                  <w:tcW w:w="87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29</w:t>
                  </w:r>
                </w:p>
              </w:tc>
              <w:tc>
                <w:tcPr>
                  <w:tcW w:w="150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1,050.21</w:t>
                  </w:r>
                </w:p>
              </w:tc>
              <w:tc>
                <w:tcPr>
                  <w:tcW w:w="34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年末结转和结余</w:t>
                  </w:r>
                </w:p>
              </w:tc>
              <w:tc>
                <w:tcPr>
                  <w:tcW w:w="114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59</w:t>
                  </w:r>
                </w:p>
              </w:tc>
              <w:tc>
                <w:tcPr>
                  <w:tcW w:w="342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lang w:val="en-US" w:eastAsia="zh-CN"/>
                    </w:rPr>
                  </w:pPr>
                  <w:r>
                    <w:rPr>
                      <w:rFonts w:hint="eastAsia" w:ascii="宋体" w:hAnsi="宋体" w:eastAsia="宋体" w:cs="宋体"/>
                      <w:i w:val="0"/>
                      <w:iCs w:val="0"/>
                      <w:color w:val="000000"/>
                      <w:kern w:val="0"/>
                      <w:sz w:val="22"/>
                      <w:szCs w:val="22"/>
                      <w:u w:val="none"/>
                      <w:lang w:val="en-US" w:eastAsia="zh-CN" w:bidi="ar"/>
                    </w:rPr>
                    <w:t>562.17</w:t>
                  </w:r>
                </w:p>
              </w:tc>
            </w:tr>
            <w:tr>
              <w:tblPrEx>
                <w:tblCellMar>
                  <w:top w:w="0" w:type="dxa"/>
                  <w:left w:w="108" w:type="dxa"/>
                  <w:bottom w:w="0" w:type="dxa"/>
                  <w:right w:w="108" w:type="dxa"/>
                </w:tblCellMar>
              </w:tblPrEx>
              <w:trPr>
                <w:gridAfter w:val="1"/>
                <w:wAfter w:w="172" w:type="dxa"/>
                <w:trHeight w:val="325" w:hRule="atLeast"/>
              </w:trPr>
              <w:tc>
                <w:tcPr>
                  <w:tcW w:w="411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87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30</w:t>
                  </w:r>
                </w:p>
              </w:tc>
              <w:tc>
                <w:tcPr>
                  <w:tcW w:w="150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2,185.46</w:t>
                  </w:r>
                </w:p>
              </w:tc>
              <w:tc>
                <w:tcPr>
                  <w:tcW w:w="345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14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60</w:t>
                  </w:r>
                </w:p>
              </w:tc>
              <w:tc>
                <w:tcPr>
                  <w:tcW w:w="342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2,185.46</w:t>
                  </w:r>
                </w:p>
              </w:tc>
            </w:tr>
            <w:tr>
              <w:tblPrEx>
                <w:tblCellMar>
                  <w:top w:w="0" w:type="dxa"/>
                  <w:left w:w="108" w:type="dxa"/>
                  <w:bottom w:w="0" w:type="dxa"/>
                  <w:right w:w="108" w:type="dxa"/>
                </w:tblCellMar>
              </w:tblPrEx>
              <w:trPr>
                <w:gridAfter w:val="1"/>
                <w:wAfter w:w="172" w:type="dxa"/>
                <w:trHeight w:val="1020" w:hRule="atLeast"/>
              </w:trPr>
              <w:tc>
                <w:tcPr>
                  <w:tcW w:w="14499" w:type="dxa"/>
                  <w:gridSpan w:val="10"/>
                  <w:tcBorders>
                    <w:top w:val="nil"/>
                    <w:left w:val="nil"/>
                    <w:bottom w:val="nil"/>
                    <w:right w:val="nil"/>
                  </w:tcBorders>
                  <w:shd w:val="clear" w:color="auto" w:fill="auto"/>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4"/>
                      <w:szCs w:val="24"/>
                    </w:rPr>
                    <w:t>注：1.本表反映部门本年度的总收支和年末结转结余情况。</w:t>
                  </w:r>
                </w:p>
                <w:p>
                  <w:pPr>
                    <w:widowControl/>
                    <w:jc w:val="left"/>
                    <w:rPr>
                      <w:rFonts w:ascii="宋体" w:hAnsi="宋体" w:eastAsia="宋体" w:cs="宋体"/>
                      <w:kern w:val="0"/>
                      <w:sz w:val="24"/>
                      <w:szCs w:val="24"/>
                    </w:rPr>
                  </w:pPr>
                  <w:r>
                    <w:rPr>
                      <w:rFonts w:hint="eastAsia" w:ascii="宋体" w:hAnsi="宋体" w:eastAsia="宋体" w:cs="宋体"/>
                      <w:kern w:val="0"/>
                      <w:sz w:val="24"/>
                      <w:szCs w:val="24"/>
                    </w:rPr>
                    <w:t xml:space="preserve"> 2.本套报表金额单位转换时可能存在尾数误差。</w:t>
                  </w:r>
                </w:p>
              </w:tc>
            </w:tr>
          </w:tbl>
          <w:p>
            <w:pPr>
              <w:jc w:val="center"/>
              <w:rPr>
                <w:rFonts w:hint="eastAsia" w:ascii="华文中宋" w:hAnsi="华文中宋" w:eastAsia="华文中宋"/>
                <w:color w:val="000000"/>
                <w:sz w:val="32"/>
                <w:szCs w:val="32"/>
              </w:rPr>
            </w:pPr>
          </w:p>
          <w:p>
            <w:pPr>
              <w:jc w:val="center"/>
              <w:rPr>
                <w:rFonts w:hint="eastAsia" w:ascii="华文中宋" w:hAnsi="华文中宋" w:eastAsia="华文中宋"/>
                <w:color w:val="000000"/>
                <w:sz w:val="32"/>
                <w:szCs w:val="32"/>
              </w:rPr>
            </w:pPr>
          </w:p>
          <w:p>
            <w:pPr>
              <w:jc w:val="center"/>
              <w:rPr>
                <w:rFonts w:hint="eastAsia" w:ascii="华文中宋" w:hAnsi="华文中宋" w:eastAsia="华文中宋"/>
                <w:color w:val="000000"/>
                <w:sz w:val="32"/>
                <w:szCs w:val="32"/>
              </w:rPr>
            </w:pPr>
          </w:p>
          <w:p>
            <w:pPr>
              <w:jc w:val="center"/>
              <w:rPr>
                <w:rFonts w:hint="eastAsia" w:ascii="华文中宋" w:hAnsi="华文中宋" w:eastAsia="华文中宋"/>
                <w:color w:val="000000"/>
                <w:sz w:val="32"/>
                <w:szCs w:val="32"/>
              </w:rPr>
            </w:pPr>
          </w:p>
          <w:p>
            <w:pPr>
              <w:jc w:val="center"/>
              <w:rPr>
                <w:rFonts w:hint="eastAsia" w:ascii="华文中宋" w:hAnsi="华文中宋" w:eastAsia="华文中宋"/>
                <w:color w:val="000000"/>
                <w:sz w:val="32"/>
                <w:szCs w:val="32"/>
              </w:rPr>
            </w:pPr>
          </w:p>
          <w:p>
            <w:pPr>
              <w:jc w:val="center"/>
              <w:rPr>
                <w:rFonts w:hint="eastAsia" w:ascii="华文中宋" w:hAnsi="华文中宋" w:eastAsia="华文中宋"/>
                <w:color w:val="000000"/>
                <w:sz w:val="32"/>
                <w:szCs w:val="32"/>
              </w:rPr>
            </w:pPr>
          </w:p>
          <w:p>
            <w:pPr>
              <w:jc w:val="center"/>
              <w:rPr>
                <w:rFonts w:hint="eastAsia" w:ascii="华文中宋" w:hAnsi="华文中宋" w:eastAsia="华文中宋"/>
                <w:color w:val="000000"/>
                <w:sz w:val="32"/>
                <w:szCs w:val="32"/>
              </w:rPr>
            </w:pPr>
          </w:p>
          <w:p>
            <w:pPr>
              <w:jc w:val="center"/>
              <w:rPr>
                <w:rFonts w:hint="eastAsia" w:ascii="华文中宋" w:hAnsi="华文中宋" w:eastAsia="华文中宋"/>
                <w:color w:val="000000"/>
                <w:sz w:val="32"/>
                <w:szCs w:val="32"/>
              </w:rPr>
            </w:pPr>
          </w:p>
          <w:p>
            <w:pPr>
              <w:jc w:val="center"/>
              <w:rPr>
                <w:rFonts w:hint="eastAsia" w:ascii="华文中宋" w:hAnsi="华文中宋" w:eastAsia="华文中宋"/>
                <w:color w:val="000000"/>
                <w:sz w:val="32"/>
                <w:szCs w:val="32"/>
              </w:rPr>
            </w:pPr>
          </w:p>
          <w:p>
            <w:pPr>
              <w:jc w:val="center"/>
              <w:rPr>
                <w:rFonts w:hint="eastAsia" w:ascii="华文中宋" w:hAnsi="华文中宋" w:eastAsia="华文中宋"/>
                <w:color w:val="000000"/>
                <w:sz w:val="32"/>
                <w:szCs w:val="32"/>
              </w:rPr>
            </w:pPr>
          </w:p>
          <w:p>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tblPrEx>
          <w:tblCellMar>
            <w:top w:w="0" w:type="dxa"/>
            <w:left w:w="0" w:type="dxa"/>
            <w:bottom w:w="0" w:type="dxa"/>
            <w:right w:w="0" w:type="dxa"/>
          </w:tblCellMar>
        </w:tblPrEx>
        <w:trPr>
          <w:trHeight w:val="285" w:hRule="atLeast"/>
        </w:trPr>
        <w:tc>
          <w:tcPr>
            <w:tcW w:w="383"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589"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7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3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9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2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5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9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41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8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公开02表</w:t>
            </w:r>
          </w:p>
        </w:tc>
      </w:tr>
      <w:tr>
        <w:tblPrEx>
          <w:tblCellMar>
            <w:top w:w="0" w:type="dxa"/>
            <w:left w:w="0" w:type="dxa"/>
            <w:bottom w:w="0" w:type="dxa"/>
            <w:right w:w="0" w:type="dxa"/>
          </w:tblCellMar>
        </w:tblPrEx>
        <w:trPr>
          <w:trHeight w:val="285" w:hRule="atLeast"/>
        </w:trPr>
        <w:tc>
          <w:tcPr>
            <w:tcW w:w="972" w:type="dxa"/>
            <w:gridSpan w:val="3"/>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hAnsi="宋体" w:eastAsia="宋体" w:cs="宋体"/>
                <w:color w:val="000000"/>
                <w:sz w:val="20"/>
                <w:szCs w:val="20"/>
              </w:rPr>
            </w:pPr>
            <w:r>
              <w:rPr>
                <w:rFonts w:hint="eastAsia"/>
                <w:color w:val="000000"/>
                <w:sz w:val="20"/>
                <w:szCs w:val="20"/>
              </w:rPr>
              <w:t>部门：</w:t>
            </w:r>
          </w:p>
        </w:tc>
        <w:tc>
          <w:tcPr>
            <w:tcW w:w="187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3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9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20"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hAnsi="宋体" w:eastAsia="宋体" w:cs="宋体"/>
                <w:color w:val="000000"/>
                <w:sz w:val="20"/>
                <w:szCs w:val="20"/>
              </w:rPr>
            </w:pPr>
            <w:r>
              <w:rPr>
                <w:rFonts w:hint="eastAsia"/>
                <w:color w:val="000000"/>
                <w:sz w:val="20"/>
                <w:szCs w:val="20"/>
              </w:rPr>
              <w:t>　</w:t>
            </w:r>
          </w:p>
        </w:tc>
        <w:tc>
          <w:tcPr>
            <w:tcW w:w="165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9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41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8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单位：万元</w:t>
            </w:r>
          </w:p>
        </w:tc>
      </w:tr>
      <w:tr>
        <w:tblPrEx>
          <w:tblCellMar>
            <w:top w:w="0" w:type="dxa"/>
            <w:left w:w="0" w:type="dxa"/>
            <w:bottom w:w="0" w:type="dxa"/>
            <w:right w:w="0" w:type="dxa"/>
          </w:tblCellMar>
        </w:tblPrEx>
        <w:trPr>
          <w:trHeight w:val="450" w:hRule="atLeast"/>
        </w:trPr>
        <w:tc>
          <w:tcPr>
            <w:tcW w:w="2847" w:type="dxa"/>
            <w:gridSpan w:val="4"/>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项目</w:t>
            </w:r>
          </w:p>
        </w:tc>
        <w:tc>
          <w:tcPr>
            <w:tcW w:w="153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本年收入合计</w:t>
            </w:r>
          </w:p>
        </w:tc>
        <w:tc>
          <w:tcPr>
            <w:tcW w:w="189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财政拨款收入</w:t>
            </w:r>
          </w:p>
        </w:tc>
        <w:tc>
          <w:tcPr>
            <w:tcW w:w="162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上级补助收入</w:t>
            </w:r>
          </w:p>
        </w:tc>
        <w:tc>
          <w:tcPr>
            <w:tcW w:w="165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事业收入</w:t>
            </w:r>
          </w:p>
        </w:tc>
        <w:tc>
          <w:tcPr>
            <w:tcW w:w="159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经营收入</w:t>
            </w:r>
          </w:p>
        </w:tc>
        <w:tc>
          <w:tcPr>
            <w:tcW w:w="241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附属单位上缴收入</w:t>
            </w:r>
          </w:p>
        </w:tc>
        <w:tc>
          <w:tcPr>
            <w:tcW w:w="188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其他收入</w:t>
            </w:r>
          </w:p>
        </w:tc>
      </w:tr>
      <w:tr>
        <w:tblPrEx>
          <w:tblCellMar>
            <w:top w:w="0" w:type="dxa"/>
            <w:left w:w="0" w:type="dxa"/>
            <w:bottom w:w="0" w:type="dxa"/>
            <w:right w:w="0" w:type="dxa"/>
          </w:tblCellMar>
        </w:tblPrEx>
        <w:trPr>
          <w:trHeight w:val="450" w:hRule="atLeast"/>
        </w:trPr>
        <w:tc>
          <w:tcPr>
            <w:tcW w:w="572"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功能分类科目编码</w:t>
            </w:r>
          </w:p>
        </w:tc>
        <w:tc>
          <w:tcPr>
            <w:tcW w:w="2275" w:type="dxa"/>
            <w:gridSpan w:val="2"/>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科目名称</w:t>
            </w:r>
          </w:p>
        </w:tc>
        <w:tc>
          <w:tcPr>
            <w:tcW w:w="153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szCs w:val="24"/>
              </w:rPr>
            </w:pPr>
          </w:p>
        </w:tc>
        <w:tc>
          <w:tcPr>
            <w:tcW w:w="189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szCs w:val="24"/>
              </w:rPr>
            </w:pPr>
          </w:p>
        </w:tc>
        <w:tc>
          <w:tcPr>
            <w:tcW w:w="162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szCs w:val="24"/>
              </w:rPr>
            </w:pPr>
          </w:p>
        </w:tc>
        <w:tc>
          <w:tcPr>
            <w:tcW w:w="165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szCs w:val="24"/>
              </w:rPr>
            </w:pPr>
          </w:p>
        </w:tc>
        <w:tc>
          <w:tcPr>
            <w:tcW w:w="1594"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szCs w:val="24"/>
              </w:rPr>
            </w:pPr>
          </w:p>
        </w:tc>
        <w:tc>
          <w:tcPr>
            <w:tcW w:w="2412"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szCs w:val="24"/>
              </w:rPr>
            </w:pPr>
          </w:p>
        </w:tc>
        <w:tc>
          <w:tcPr>
            <w:tcW w:w="1885"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0" w:type="auto"/>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gridSpan w:val="2"/>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3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9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62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65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94"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41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85"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2847"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栏次</w:t>
            </w:r>
          </w:p>
        </w:tc>
        <w:tc>
          <w:tcPr>
            <w:tcW w:w="153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w:t>
            </w:r>
          </w:p>
        </w:tc>
        <w:tc>
          <w:tcPr>
            <w:tcW w:w="1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w:t>
            </w:r>
          </w:p>
        </w:tc>
        <w:tc>
          <w:tcPr>
            <w:tcW w:w="16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3</w:t>
            </w:r>
          </w:p>
        </w:tc>
        <w:tc>
          <w:tcPr>
            <w:tcW w:w="165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4</w:t>
            </w:r>
          </w:p>
        </w:tc>
        <w:tc>
          <w:tcPr>
            <w:tcW w:w="159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5</w:t>
            </w:r>
          </w:p>
        </w:tc>
        <w:tc>
          <w:tcPr>
            <w:tcW w:w="241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6</w:t>
            </w:r>
          </w:p>
        </w:tc>
        <w:tc>
          <w:tcPr>
            <w:tcW w:w="188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7</w:t>
            </w:r>
          </w:p>
        </w:tc>
      </w:tr>
      <w:tr>
        <w:tblPrEx>
          <w:tblCellMar>
            <w:top w:w="0" w:type="dxa"/>
            <w:left w:w="0" w:type="dxa"/>
            <w:bottom w:w="0" w:type="dxa"/>
            <w:right w:w="0" w:type="dxa"/>
          </w:tblCellMar>
        </w:tblPrEx>
        <w:trPr>
          <w:trHeight w:val="450" w:hRule="atLeast"/>
        </w:trPr>
        <w:tc>
          <w:tcPr>
            <w:tcW w:w="2847"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合计</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default" w:ascii="宋体" w:hAnsi="宋体" w:eastAsia="宋体" w:cs="宋体"/>
                <w:sz w:val="24"/>
                <w:szCs w:val="24"/>
                <w:lang w:val="en-US"/>
              </w:rPr>
            </w:pPr>
            <w:r>
              <w:rPr>
                <w:rFonts w:hint="eastAsia" w:ascii="宋体" w:hAnsi="宋体" w:eastAsia="宋体" w:cs="宋体"/>
                <w:b/>
                <w:i w:val="0"/>
                <w:color w:val="000000"/>
                <w:kern w:val="0"/>
                <w:sz w:val="22"/>
                <w:szCs w:val="22"/>
                <w:u w:val="none"/>
                <w:lang w:val="en-US" w:eastAsia="zh-CN" w:bidi="ar"/>
              </w:rPr>
              <w:t>1135.25</w:t>
            </w:r>
          </w:p>
        </w:tc>
        <w:tc>
          <w:tcPr>
            <w:tcW w:w="18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default" w:ascii="宋体" w:hAnsi="宋体" w:eastAsia="宋体" w:cs="宋体"/>
                <w:sz w:val="24"/>
                <w:szCs w:val="24"/>
                <w:lang w:val="en-US"/>
              </w:rPr>
            </w:pPr>
            <w:r>
              <w:rPr>
                <w:rFonts w:hint="eastAsia" w:ascii="宋体" w:hAnsi="宋体" w:eastAsia="宋体" w:cs="宋体"/>
                <w:b/>
                <w:i w:val="0"/>
                <w:color w:val="000000"/>
                <w:kern w:val="0"/>
                <w:sz w:val="22"/>
                <w:szCs w:val="22"/>
                <w:u w:val="none"/>
                <w:lang w:val="en-US" w:eastAsia="zh-CN" w:bidi="ar"/>
              </w:rPr>
              <w:t>1135.25</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i w:val="0"/>
                <w:color w:val="000000"/>
                <w:kern w:val="0"/>
                <w:sz w:val="22"/>
                <w:szCs w:val="22"/>
                <w:u w:val="none"/>
                <w:lang w:val="en-US" w:eastAsia="zh-CN" w:bidi="ar"/>
              </w:rPr>
              <w:t>0.00</w:t>
            </w:r>
          </w:p>
        </w:tc>
        <w:tc>
          <w:tcPr>
            <w:tcW w:w="16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i w:val="0"/>
                <w:color w:val="000000"/>
                <w:kern w:val="0"/>
                <w:sz w:val="22"/>
                <w:szCs w:val="22"/>
                <w:u w:val="none"/>
                <w:lang w:val="en-US" w:eastAsia="zh-CN" w:bidi="ar"/>
              </w:rPr>
              <w:t>0.00</w:t>
            </w:r>
          </w:p>
        </w:tc>
        <w:tc>
          <w:tcPr>
            <w:tcW w:w="15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i w:val="0"/>
                <w:color w:val="000000"/>
                <w:kern w:val="0"/>
                <w:sz w:val="22"/>
                <w:szCs w:val="22"/>
                <w:u w:val="none"/>
                <w:lang w:val="en-US" w:eastAsia="zh-CN" w:bidi="ar"/>
              </w:rPr>
              <w:t>0.00</w:t>
            </w:r>
          </w:p>
        </w:tc>
        <w:tc>
          <w:tcPr>
            <w:tcW w:w="24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i w:val="0"/>
                <w:color w:val="000000"/>
                <w:kern w:val="0"/>
                <w:sz w:val="22"/>
                <w:szCs w:val="22"/>
                <w:u w:val="none"/>
                <w:lang w:val="en-US" w:eastAsia="zh-CN" w:bidi="ar"/>
              </w:rPr>
              <w:t>0.00</w:t>
            </w:r>
          </w:p>
        </w:tc>
        <w:tc>
          <w:tcPr>
            <w:tcW w:w="18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97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205</w:t>
            </w:r>
          </w:p>
        </w:tc>
        <w:tc>
          <w:tcPr>
            <w:tcW w:w="18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教育支出</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18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16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15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24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18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r>
      <w:tr>
        <w:tblPrEx>
          <w:tblCellMar>
            <w:top w:w="0" w:type="dxa"/>
            <w:left w:w="0" w:type="dxa"/>
            <w:bottom w:w="0" w:type="dxa"/>
            <w:right w:w="0" w:type="dxa"/>
          </w:tblCellMar>
        </w:tblPrEx>
        <w:trPr>
          <w:trHeight w:val="450" w:hRule="atLeast"/>
        </w:trPr>
        <w:tc>
          <w:tcPr>
            <w:tcW w:w="97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20599</w:t>
            </w:r>
          </w:p>
        </w:tc>
        <w:tc>
          <w:tcPr>
            <w:tcW w:w="18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其他教育支出</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18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16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15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24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18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r>
      <w:tr>
        <w:tblPrEx>
          <w:tblCellMar>
            <w:top w:w="0" w:type="dxa"/>
            <w:left w:w="0" w:type="dxa"/>
            <w:bottom w:w="0" w:type="dxa"/>
            <w:right w:w="0" w:type="dxa"/>
          </w:tblCellMar>
        </w:tblPrEx>
        <w:trPr>
          <w:trHeight w:val="450" w:hRule="atLeast"/>
        </w:trPr>
        <w:tc>
          <w:tcPr>
            <w:tcW w:w="97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2059999</w:t>
            </w:r>
          </w:p>
        </w:tc>
        <w:tc>
          <w:tcPr>
            <w:tcW w:w="18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其他教育支出</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18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16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15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24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18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r>
      <w:tr>
        <w:tblPrEx>
          <w:tblCellMar>
            <w:top w:w="0" w:type="dxa"/>
            <w:left w:w="0" w:type="dxa"/>
            <w:bottom w:w="0" w:type="dxa"/>
            <w:right w:w="0" w:type="dxa"/>
          </w:tblCellMar>
        </w:tblPrEx>
        <w:trPr>
          <w:trHeight w:val="450" w:hRule="atLeast"/>
        </w:trPr>
        <w:tc>
          <w:tcPr>
            <w:tcW w:w="97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208</w:t>
            </w:r>
          </w:p>
        </w:tc>
        <w:tc>
          <w:tcPr>
            <w:tcW w:w="18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社会保障和就业支出</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59.94</w:t>
            </w:r>
          </w:p>
        </w:tc>
        <w:tc>
          <w:tcPr>
            <w:tcW w:w="18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59.94</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6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5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24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8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r>
      <w:tr>
        <w:tblPrEx>
          <w:tblCellMar>
            <w:top w:w="0" w:type="dxa"/>
            <w:left w:w="0" w:type="dxa"/>
            <w:bottom w:w="0" w:type="dxa"/>
            <w:right w:w="0" w:type="dxa"/>
          </w:tblCellMar>
        </w:tblPrEx>
        <w:trPr>
          <w:trHeight w:val="450" w:hRule="atLeast"/>
        </w:trPr>
        <w:tc>
          <w:tcPr>
            <w:tcW w:w="97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20805</w:t>
            </w:r>
          </w:p>
        </w:tc>
        <w:tc>
          <w:tcPr>
            <w:tcW w:w="18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行政事业单位养老支出</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54.95</w:t>
            </w:r>
          </w:p>
        </w:tc>
        <w:tc>
          <w:tcPr>
            <w:tcW w:w="18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54.95</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6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5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24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8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r>
      <w:tr>
        <w:tblPrEx>
          <w:tblCellMar>
            <w:top w:w="0" w:type="dxa"/>
            <w:left w:w="0" w:type="dxa"/>
            <w:bottom w:w="0" w:type="dxa"/>
            <w:right w:w="0" w:type="dxa"/>
          </w:tblCellMar>
        </w:tblPrEx>
        <w:trPr>
          <w:trHeight w:val="450" w:hRule="atLeast"/>
        </w:trPr>
        <w:tc>
          <w:tcPr>
            <w:tcW w:w="97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2080501</w:t>
            </w:r>
          </w:p>
        </w:tc>
        <w:tc>
          <w:tcPr>
            <w:tcW w:w="18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行政单位离退休</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1.84</w:t>
            </w:r>
          </w:p>
        </w:tc>
        <w:tc>
          <w:tcPr>
            <w:tcW w:w="18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1.84</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16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15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24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18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r>
      <w:tr>
        <w:tblPrEx>
          <w:tblCellMar>
            <w:top w:w="0" w:type="dxa"/>
            <w:left w:w="0" w:type="dxa"/>
            <w:bottom w:w="0" w:type="dxa"/>
            <w:right w:w="0" w:type="dxa"/>
          </w:tblCellMar>
        </w:tblPrEx>
        <w:trPr>
          <w:trHeight w:val="450" w:hRule="atLeast"/>
        </w:trPr>
        <w:tc>
          <w:tcPr>
            <w:tcW w:w="97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2080505</w:t>
            </w:r>
          </w:p>
        </w:tc>
        <w:tc>
          <w:tcPr>
            <w:tcW w:w="18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 xml:space="preserve">  机关事业单位基本养老保险缴费支出</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53.11</w:t>
            </w:r>
          </w:p>
        </w:tc>
        <w:tc>
          <w:tcPr>
            <w:tcW w:w="18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53.11</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6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5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24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8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r>
      <w:tr>
        <w:tblPrEx>
          <w:tblCellMar>
            <w:top w:w="0" w:type="dxa"/>
            <w:left w:w="0" w:type="dxa"/>
            <w:bottom w:w="0" w:type="dxa"/>
            <w:right w:w="0" w:type="dxa"/>
          </w:tblCellMar>
        </w:tblPrEx>
        <w:trPr>
          <w:trHeight w:val="450" w:hRule="atLeast"/>
        </w:trPr>
        <w:tc>
          <w:tcPr>
            <w:tcW w:w="97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20899</w:t>
            </w:r>
          </w:p>
        </w:tc>
        <w:tc>
          <w:tcPr>
            <w:tcW w:w="18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5.00</w:t>
            </w:r>
          </w:p>
        </w:tc>
        <w:tc>
          <w:tcPr>
            <w:tcW w:w="18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5.00</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6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5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24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8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r>
      <w:tr>
        <w:tblPrEx>
          <w:tblCellMar>
            <w:top w:w="0" w:type="dxa"/>
            <w:left w:w="0" w:type="dxa"/>
            <w:bottom w:w="0" w:type="dxa"/>
            <w:right w:w="0" w:type="dxa"/>
          </w:tblCellMar>
        </w:tblPrEx>
        <w:trPr>
          <w:trHeight w:val="450" w:hRule="atLeast"/>
        </w:trPr>
        <w:tc>
          <w:tcPr>
            <w:tcW w:w="97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2089999</w:t>
            </w:r>
          </w:p>
        </w:tc>
        <w:tc>
          <w:tcPr>
            <w:tcW w:w="18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 xml:space="preserve">  其他社会保障和就业支出</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5.00</w:t>
            </w:r>
          </w:p>
        </w:tc>
        <w:tc>
          <w:tcPr>
            <w:tcW w:w="18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5.00</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6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5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24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8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r>
      <w:tr>
        <w:tblPrEx>
          <w:tblCellMar>
            <w:top w:w="0" w:type="dxa"/>
            <w:left w:w="0" w:type="dxa"/>
            <w:bottom w:w="0" w:type="dxa"/>
            <w:right w:w="0" w:type="dxa"/>
          </w:tblCellMar>
        </w:tblPrEx>
        <w:trPr>
          <w:trHeight w:val="450" w:hRule="atLeast"/>
        </w:trPr>
        <w:tc>
          <w:tcPr>
            <w:tcW w:w="97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210</w:t>
            </w:r>
          </w:p>
        </w:tc>
        <w:tc>
          <w:tcPr>
            <w:tcW w:w="18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卫生健康支出</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1,034.23</w:t>
            </w:r>
          </w:p>
        </w:tc>
        <w:tc>
          <w:tcPr>
            <w:tcW w:w="18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1,034.23</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6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5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24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8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r>
      <w:tr>
        <w:tblPrEx>
          <w:tblCellMar>
            <w:top w:w="0" w:type="dxa"/>
            <w:left w:w="0" w:type="dxa"/>
            <w:bottom w:w="0" w:type="dxa"/>
            <w:right w:w="0" w:type="dxa"/>
          </w:tblCellMar>
        </w:tblPrEx>
        <w:trPr>
          <w:trHeight w:val="450" w:hRule="atLeast"/>
        </w:trPr>
        <w:tc>
          <w:tcPr>
            <w:tcW w:w="97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21001</w:t>
            </w:r>
          </w:p>
        </w:tc>
        <w:tc>
          <w:tcPr>
            <w:tcW w:w="18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卫生健康管理事务</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740.77</w:t>
            </w:r>
          </w:p>
        </w:tc>
        <w:tc>
          <w:tcPr>
            <w:tcW w:w="18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740.77</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6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5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24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8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r>
      <w:tr>
        <w:tblPrEx>
          <w:tblCellMar>
            <w:top w:w="0" w:type="dxa"/>
            <w:left w:w="0" w:type="dxa"/>
            <w:bottom w:w="0" w:type="dxa"/>
            <w:right w:w="0" w:type="dxa"/>
          </w:tblCellMar>
        </w:tblPrEx>
        <w:trPr>
          <w:trHeight w:val="450" w:hRule="atLeast"/>
        </w:trPr>
        <w:tc>
          <w:tcPr>
            <w:tcW w:w="97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2100101</w:t>
            </w:r>
          </w:p>
        </w:tc>
        <w:tc>
          <w:tcPr>
            <w:tcW w:w="18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 xml:space="preserve">  行政运行</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678.71</w:t>
            </w:r>
          </w:p>
        </w:tc>
        <w:tc>
          <w:tcPr>
            <w:tcW w:w="18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678.71</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6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5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24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8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r>
      <w:tr>
        <w:tblPrEx>
          <w:tblCellMar>
            <w:top w:w="0" w:type="dxa"/>
            <w:left w:w="0" w:type="dxa"/>
            <w:bottom w:w="0" w:type="dxa"/>
            <w:right w:w="0" w:type="dxa"/>
          </w:tblCellMar>
        </w:tblPrEx>
        <w:trPr>
          <w:trHeight w:val="450" w:hRule="atLeast"/>
        </w:trPr>
        <w:tc>
          <w:tcPr>
            <w:tcW w:w="97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2100199</w:t>
            </w:r>
          </w:p>
        </w:tc>
        <w:tc>
          <w:tcPr>
            <w:tcW w:w="18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 xml:space="preserve">  其他卫生健康管理事务支出</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62.06</w:t>
            </w:r>
          </w:p>
        </w:tc>
        <w:tc>
          <w:tcPr>
            <w:tcW w:w="18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62.06</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6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5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24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8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default"/>
                <w:lang w:val="en-US"/>
              </w:rPr>
            </w:pPr>
          </w:p>
        </w:tc>
      </w:tr>
      <w:tr>
        <w:tblPrEx>
          <w:tblCellMar>
            <w:top w:w="0" w:type="dxa"/>
            <w:left w:w="0" w:type="dxa"/>
            <w:bottom w:w="0" w:type="dxa"/>
            <w:right w:w="0" w:type="dxa"/>
          </w:tblCellMar>
        </w:tblPrEx>
        <w:trPr>
          <w:trHeight w:val="450" w:hRule="atLeast"/>
        </w:trPr>
        <w:tc>
          <w:tcPr>
            <w:tcW w:w="97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21002</w:t>
            </w:r>
          </w:p>
        </w:tc>
        <w:tc>
          <w:tcPr>
            <w:tcW w:w="18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公立医院</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5.23</w:t>
            </w:r>
          </w:p>
        </w:tc>
        <w:tc>
          <w:tcPr>
            <w:tcW w:w="18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5.23</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16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15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24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18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r>
      <w:tr>
        <w:tblPrEx>
          <w:tblCellMar>
            <w:top w:w="0" w:type="dxa"/>
            <w:left w:w="0" w:type="dxa"/>
            <w:bottom w:w="0" w:type="dxa"/>
            <w:right w:w="0" w:type="dxa"/>
          </w:tblCellMar>
        </w:tblPrEx>
        <w:trPr>
          <w:trHeight w:val="450" w:hRule="atLeast"/>
        </w:trPr>
        <w:tc>
          <w:tcPr>
            <w:tcW w:w="97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2100201</w:t>
            </w:r>
          </w:p>
        </w:tc>
        <w:tc>
          <w:tcPr>
            <w:tcW w:w="18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综合医院</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3.67</w:t>
            </w:r>
          </w:p>
        </w:tc>
        <w:tc>
          <w:tcPr>
            <w:tcW w:w="18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3.67</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16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15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24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18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r>
      <w:tr>
        <w:tblPrEx>
          <w:tblCellMar>
            <w:top w:w="0" w:type="dxa"/>
            <w:left w:w="0" w:type="dxa"/>
            <w:bottom w:w="0" w:type="dxa"/>
            <w:right w:w="0" w:type="dxa"/>
          </w:tblCellMar>
        </w:tblPrEx>
        <w:trPr>
          <w:trHeight w:val="450" w:hRule="atLeast"/>
        </w:trPr>
        <w:tc>
          <w:tcPr>
            <w:tcW w:w="97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2100202</w:t>
            </w:r>
          </w:p>
        </w:tc>
        <w:tc>
          <w:tcPr>
            <w:tcW w:w="18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中医（民族）医院</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1.56</w:t>
            </w:r>
          </w:p>
        </w:tc>
        <w:tc>
          <w:tcPr>
            <w:tcW w:w="18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1.56</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16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15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24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18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r>
      <w:tr>
        <w:tblPrEx>
          <w:tblCellMar>
            <w:top w:w="0" w:type="dxa"/>
            <w:left w:w="0" w:type="dxa"/>
            <w:bottom w:w="0" w:type="dxa"/>
            <w:right w:w="0" w:type="dxa"/>
          </w:tblCellMar>
        </w:tblPrEx>
        <w:trPr>
          <w:trHeight w:val="450" w:hRule="atLeast"/>
        </w:trPr>
        <w:tc>
          <w:tcPr>
            <w:tcW w:w="97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21003</w:t>
            </w:r>
          </w:p>
        </w:tc>
        <w:tc>
          <w:tcPr>
            <w:tcW w:w="18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基层医疗卫生机构</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103.24</w:t>
            </w:r>
          </w:p>
        </w:tc>
        <w:tc>
          <w:tcPr>
            <w:tcW w:w="18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103.24</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6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5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24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8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r>
      <w:tr>
        <w:tblPrEx>
          <w:tblCellMar>
            <w:top w:w="0" w:type="dxa"/>
            <w:left w:w="0" w:type="dxa"/>
            <w:bottom w:w="0" w:type="dxa"/>
            <w:right w:w="0" w:type="dxa"/>
          </w:tblCellMar>
        </w:tblPrEx>
        <w:trPr>
          <w:trHeight w:val="450" w:hRule="atLeast"/>
        </w:trPr>
        <w:tc>
          <w:tcPr>
            <w:tcW w:w="97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2100302</w:t>
            </w:r>
          </w:p>
        </w:tc>
        <w:tc>
          <w:tcPr>
            <w:tcW w:w="18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 xml:space="preserve">  乡镇卫生院</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39.15</w:t>
            </w:r>
          </w:p>
        </w:tc>
        <w:tc>
          <w:tcPr>
            <w:tcW w:w="18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39.15</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6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5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24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8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r>
      <w:tr>
        <w:tblPrEx>
          <w:tblCellMar>
            <w:top w:w="0" w:type="dxa"/>
            <w:left w:w="0" w:type="dxa"/>
            <w:bottom w:w="0" w:type="dxa"/>
            <w:right w:w="0" w:type="dxa"/>
          </w:tblCellMar>
        </w:tblPrEx>
        <w:trPr>
          <w:trHeight w:val="450" w:hRule="atLeast"/>
        </w:trPr>
        <w:tc>
          <w:tcPr>
            <w:tcW w:w="97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2100399</w:t>
            </w:r>
          </w:p>
        </w:tc>
        <w:tc>
          <w:tcPr>
            <w:tcW w:w="18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其他基层医疗卫生机构支出</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64.09</w:t>
            </w:r>
          </w:p>
        </w:tc>
        <w:tc>
          <w:tcPr>
            <w:tcW w:w="18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64.09</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16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15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24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18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r>
      <w:tr>
        <w:tblPrEx>
          <w:tblCellMar>
            <w:top w:w="0" w:type="dxa"/>
            <w:left w:w="0" w:type="dxa"/>
            <w:bottom w:w="0" w:type="dxa"/>
            <w:right w:w="0" w:type="dxa"/>
          </w:tblCellMar>
        </w:tblPrEx>
        <w:trPr>
          <w:trHeight w:val="450" w:hRule="atLeast"/>
        </w:trPr>
        <w:tc>
          <w:tcPr>
            <w:tcW w:w="97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21004</w:t>
            </w:r>
          </w:p>
        </w:tc>
        <w:tc>
          <w:tcPr>
            <w:tcW w:w="18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公共卫生</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23.55</w:t>
            </w:r>
          </w:p>
        </w:tc>
        <w:tc>
          <w:tcPr>
            <w:tcW w:w="18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23.55</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6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5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24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8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r>
      <w:tr>
        <w:tblPrEx>
          <w:tblCellMar>
            <w:top w:w="0" w:type="dxa"/>
            <w:left w:w="0" w:type="dxa"/>
            <w:bottom w:w="0" w:type="dxa"/>
            <w:right w:w="0" w:type="dxa"/>
          </w:tblCellMar>
        </w:tblPrEx>
        <w:trPr>
          <w:trHeight w:val="450" w:hRule="atLeast"/>
        </w:trPr>
        <w:tc>
          <w:tcPr>
            <w:tcW w:w="97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2100410</w:t>
            </w:r>
          </w:p>
        </w:tc>
        <w:tc>
          <w:tcPr>
            <w:tcW w:w="18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 xml:space="preserve">  突发公共卫生事件应急处理</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23.55</w:t>
            </w:r>
          </w:p>
        </w:tc>
        <w:tc>
          <w:tcPr>
            <w:tcW w:w="18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23.55</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6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5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24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8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r>
      <w:tr>
        <w:tblPrEx>
          <w:tblCellMar>
            <w:top w:w="0" w:type="dxa"/>
            <w:left w:w="0" w:type="dxa"/>
            <w:bottom w:w="0" w:type="dxa"/>
            <w:right w:w="0" w:type="dxa"/>
          </w:tblCellMar>
        </w:tblPrEx>
        <w:trPr>
          <w:trHeight w:val="450" w:hRule="atLeast"/>
        </w:trPr>
        <w:tc>
          <w:tcPr>
            <w:tcW w:w="97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21006</w:t>
            </w:r>
          </w:p>
        </w:tc>
        <w:tc>
          <w:tcPr>
            <w:tcW w:w="18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中医药</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2.28</w:t>
            </w:r>
          </w:p>
        </w:tc>
        <w:tc>
          <w:tcPr>
            <w:tcW w:w="18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2.28</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16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15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24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18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r>
      <w:tr>
        <w:tblPrEx>
          <w:tblCellMar>
            <w:top w:w="0" w:type="dxa"/>
            <w:left w:w="0" w:type="dxa"/>
            <w:bottom w:w="0" w:type="dxa"/>
            <w:right w:w="0" w:type="dxa"/>
          </w:tblCellMar>
        </w:tblPrEx>
        <w:trPr>
          <w:trHeight w:val="450" w:hRule="atLeast"/>
        </w:trPr>
        <w:tc>
          <w:tcPr>
            <w:tcW w:w="97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2100601</w:t>
            </w:r>
          </w:p>
        </w:tc>
        <w:tc>
          <w:tcPr>
            <w:tcW w:w="18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中医（民族医）药专项</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2.28</w:t>
            </w:r>
          </w:p>
        </w:tc>
        <w:tc>
          <w:tcPr>
            <w:tcW w:w="18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2.28</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16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15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24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18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r>
      <w:tr>
        <w:tblPrEx>
          <w:tblCellMar>
            <w:top w:w="0" w:type="dxa"/>
            <w:left w:w="0" w:type="dxa"/>
            <w:bottom w:w="0" w:type="dxa"/>
            <w:right w:w="0" w:type="dxa"/>
          </w:tblCellMar>
        </w:tblPrEx>
        <w:trPr>
          <w:trHeight w:val="450" w:hRule="atLeast"/>
        </w:trPr>
        <w:tc>
          <w:tcPr>
            <w:tcW w:w="97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21007</w:t>
            </w:r>
          </w:p>
        </w:tc>
        <w:tc>
          <w:tcPr>
            <w:tcW w:w="18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计划生育事务</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61.15</w:t>
            </w:r>
          </w:p>
        </w:tc>
        <w:tc>
          <w:tcPr>
            <w:tcW w:w="18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61.15</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6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5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24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8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r>
      <w:tr>
        <w:tblPrEx>
          <w:tblCellMar>
            <w:top w:w="0" w:type="dxa"/>
            <w:left w:w="0" w:type="dxa"/>
            <w:bottom w:w="0" w:type="dxa"/>
            <w:right w:w="0" w:type="dxa"/>
          </w:tblCellMar>
        </w:tblPrEx>
        <w:trPr>
          <w:trHeight w:val="450" w:hRule="atLeast"/>
        </w:trPr>
        <w:tc>
          <w:tcPr>
            <w:tcW w:w="97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2100799</w:t>
            </w:r>
          </w:p>
        </w:tc>
        <w:tc>
          <w:tcPr>
            <w:tcW w:w="18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 xml:space="preserve">  其他计划生育事务支出</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61.15</w:t>
            </w:r>
          </w:p>
        </w:tc>
        <w:tc>
          <w:tcPr>
            <w:tcW w:w="18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61.15</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6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5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24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8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r>
      <w:tr>
        <w:tblPrEx>
          <w:tblCellMar>
            <w:top w:w="0" w:type="dxa"/>
            <w:left w:w="0" w:type="dxa"/>
            <w:bottom w:w="0" w:type="dxa"/>
            <w:right w:w="0" w:type="dxa"/>
          </w:tblCellMar>
        </w:tblPrEx>
        <w:trPr>
          <w:trHeight w:val="450" w:hRule="atLeast"/>
        </w:trPr>
        <w:tc>
          <w:tcPr>
            <w:tcW w:w="97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21011</w:t>
            </w:r>
          </w:p>
        </w:tc>
        <w:tc>
          <w:tcPr>
            <w:tcW w:w="18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行政事业单位医疗</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32.76</w:t>
            </w:r>
          </w:p>
        </w:tc>
        <w:tc>
          <w:tcPr>
            <w:tcW w:w="18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32.76</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16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15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24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18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r>
      <w:tr>
        <w:tblPrEx>
          <w:tblCellMar>
            <w:top w:w="0" w:type="dxa"/>
            <w:left w:w="0" w:type="dxa"/>
            <w:bottom w:w="0" w:type="dxa"/>
            <w:right w:w="0" w:type="dxa"/>
          </w:tblCellMar>
        </w:tblPrEx>
        <w:trPr>
          <w:trHeight w:val="450" w:hRule="atLeast"/>
        </w:trPr>
        <w:tc>
          <w:tcPr>
            <w:tcW w:w="97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2101101</w:t>
            </w:r>
          </w:p>
        </w:tc>
        <w:tc>
          <w:tcPr>
            <w:tcW w:w="18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行政单位医疗</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32.76</w:t>
            </w:r>
          </w:p>
        </w:tc>
        <w:tc>
          <w:tcPr>
            <w:tcW w:w="18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32.76</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16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15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24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18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r>
      <w:tr>
        <w:tblPrEx>
          <w:tblCellMar>
            <w:top w:w="0" w:type="dxa"/>
            <w:left w:w="0" w:type="dxa"/>
            <w:bottom w:w="0" w:type="dxa"/>
            <w:right w:w="0" w:type="dxa"/>
          </w:tblCellMar>
        </w:tblPrEx>
        <w:trPr>
          <w:trHeight w:val="450" w:hRule="atLeast"/>
        </w:trPr>
        <w:tc>
          <w:tcPr>
            <w:tcW w:w="97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21016</w:t>
            </w:r>
          </w:p>
        </w:tc>
        <w:tc>
          <w:tcPr>
            <w:tcW w:w="18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老龄卫生健康事务</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5.00</w:t>
            </w:r>
          </w:p>
        </w:tc>
        <w:tc>
          <w:tcPr>
            <w:tcW w:w="18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5.00</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6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5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24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8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r>
      <w:tr>
        <w:tblPrEx>
          <w:tblCellMar>
            <w:top w:w="0" w:type="dxa"/>
            <w:left w:w="0" w:type="dxa"/>
            <w:bottom w:w="0" w:type="dxa"/>
            <w:right w:w="0" w:type="dxa"/>
          </w:tblCellMar>
        </w:tblPrEx>
        <w:trPr>
          <w:trHeight w:val="450" w:hRule="atLeast"/>
        </w:trPr>
        <w:tc>
          <w:tcPr>
            <w:tcW w:w="97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2101601</w:t>
            </w:r>
          </w:p>
        </w:tc>
        <w:tc>
          <w:tcPr>
            <w:tcW w:w="18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 xml:space="preserve">  老龄卫生健康事务</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5.00</w:t>
            </w:r>
          </w:p>
        </w:tc>
        <w:tc>
          <w:tcPr>
            <w:tcW w:w="18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5.00</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6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5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24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8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r>
      <w:tr>
        <w:tblPrEx>
          <w:tblCellMar>
            <w:top w:w="0" w:type="dxa"/>
            <w:left w:w="0" w:type="dxa"/>
            <w:bottom w:w="0" w:type="dxa"/>
            <w:right w:w="0" w:type="dxa"/>
          </w:tblCellMar>
        </w:tblPrEx>
        <w:trPr>
          <w:trHeight w:val="450" w:hRule="atLeast"/>
        </w:trPr>
        <w:tc>
          <w:tcPr>
            <w:tcW w:w="97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21099</w:t>
            </w:r>
          </w:p>
        </w:tc>
        <w:tc>
          <w:tcPr>
            <w:tcW w:w="18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其他卫生健康支出</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60.24</w:t>
            </w:r>
          </w:p>
        </w:tc>
        <w:tc>
          <w:tcPr>
            <w:tcW w:w="18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60.24</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6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5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24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8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r>
      <w:tr>
        <w:tblPrEx>
          <w:tblCellMar>
            <w:top w:w="0" w:type="dxa"/>
            <w:left w:w="0" w:type="dxa"/>
            <w:bottom w:w="0" w:type="dxa"/>
            <w:right w:w="0" w:type="dxa"/>
          </w:tblCellMar>
        </w:tblPrEx>
        <w:trPr>
          <w:trHeight w:val="450" w:hRule="atLeast"/>
        </w:trPr>
        <w:tc>
          <w:tcPr>
            <w:tcW w:w="97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default"/>
                <w:lang w:val="en-US"/>
              </w:rPr>
            </w:pPr>
            <w:r>
              <w:rPr>
                <w:rFonts w:hint="eastAsia" w:ascii="宋体" w:hAnsi="宋体" w:eastAsia="宋体" w:cs="宋体"/>
                <w:i w:val="0"/>
                <w:color w:val="000000"/>
                <w:kern w:val="0"/>
                <w:sz w:val="22"/>
                <w:szCs w:val="22"/>
                <w:u w:val="none"/>
                <w:lang w:val="en-US" w:eastAsia="zh-CN" w:bidi="ar"/>
              </w:rPr>
              <w:t>2109999</w:t>
            </w:r>
          </w:p>
        </w:tc>
        <w:tc>
          <w:tcPr>
            <w:tcW w:w="18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 xml:space="preserve">  其他卫生健康支出</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60.24</w:t>
            </w:r>
          </w:p>
        </w:tc>
        <w:tc>
          <w:tcPr>
            <w:tcW w:w="18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60.24</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6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5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24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8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r>
      <w:tr>
        <w:tblPrEx>
          <w:tblCellMar>
            <w:top w:w="0" w:type="dxa"/>
            <w:left w:w="0" w:type="dxa"/>
            <w:bottom w:w="0" w:type="dxa"/>
            <w:right w:w="0" w:type="dxa"/>
          </w:tblCellMar>
        </w:tblPrEx>
        <w:trPr>
          <w:trHeight w:val="450" w:hRule="atLeast"/>
        </w:trPr>
        <w:tc>
          <w:tcPr>
            <w:tcW w:w="97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221</w:t>
            </w:r>
          </w:p>
        </w:tc>
        <w:tc>
          <w:tcPr>
            <w:tcW w:w="18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住房保障支出</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31.08</w:t>
            </w:r>
          </w:p>
        </w:tc>
        <w:tc>
          <w:tcPr>
            <w:tcW w:w="18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31.08</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6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5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24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8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r>
      <w:tr>
        <w:tblPrEx>
          <w:tblCellMar>
            <w:top w:w="0" w:type="dxa"/>
            <w:left w:w="0" w:type="dxa"/>
            <w:bottom w:w="0" w:type="dxa"/>
            <w:right w:w="0" w:type="dxa"/>
          </w:tblCellMar>
        </w:tblPrEx>
        <w:trPr>
          <w:trHeight w:val="450" w:hRule="atLeast"/>
        </w:trPr>
        <w:tc>
          <w:tcPr>
            <w:tcW w:w="97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22102</w:t>
            </w:r>
          </w:p>
        </w:tc>
        <w:tc>
          <w:tcPr>
            <w:tcW w:w="18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住房改革支出</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31.08</w:t>
            </w:r>
          </w:p>
        </w:tc>
        <w:tc>
          <w:tcPr>
            <w:tcW w:w="18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31.08</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6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5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24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8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r>
      <w:tr>
        <w:tblPrEx>
          <w:tblCellMar>
            <w:top w:w="0" w:type="dxa"/>
            <w:left w:w="0" w:type="dxa"/>
            <w:bottom w:w="0" w:type="dxa"/>
            <w:right w:w="0" w:type="dxa"/>
          </w:tblCellMar>
        </w:tblPrEx>
        <w:trPr>
          <w:trHeight w:val="450" w:hRule="atLeast"/>
        </w:trPr>
        <w:tc>
          <w:tcPr>
            <w:tcW w:w="97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2210201</w:t>
            </w:r>
          </w:p>
        </w:tc>
        <w:tc>
          <w:tcPr>
            <w:tcW w:w="18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 xml:space="preserve">  住房公积金</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31.08</w:t>
            </w:r>
          </w:p>
        </w:tc>
        <w:tc>
          <w:tcPr>
            <w:tcW w:w="189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31.08</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6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5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24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c>
          <w:tcPr>
            <w:tcW w:w="18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p>
        </w:tc>
      </w:tr>
      <w:tr>
        <w:tblPrEx>
          <w:tblCellMar>
            <w:top w:w="0" w:type="dxa"/>
            <w:left w:w="0" w:type="dxa"/>
            <w:bottom w:w="0" w:type="dxa"/>
            <w:right w:w="0" w:type="dxa"/>
          </w:tblCellMar>
        </w:tblPrEx>
        <w:trPr>
          <w:trHeight w:val="615" w:hRule="atLeast"/>
        </w:trPr>
        <w:tc>
          <w:tcPr>
            <w:tcW w:w="15428" w:type="dxa"/>
            <w:gridSpan w:val="11"/>
            <w:tcBorders>
              <w:top w:val="nil"/>
              <w:left w:val="nil"/>
              <w:bottom w:val="nil"/>
              <w:right w:val="nil"/>
            </w:tcBorders>
            <w:shd w:val="clear" w:color="auto" w:fill="auto"/>
            <w:tcMar>
              <w:top w:w="15" w:type="dxa"/>
              <w:left w:w="15" w:type="dxa"/>
              <w:bottom w:w="0" w:type="dxa"/>
              <w:right w:w="15" w:type="dxa"/>
            </w:tcMar>
            <w:vAlign w:val="center"/>
          </w:tcPr>
          <w:p>
            <w:pPr>
              <w:rPr>
                <w:rFonts w:ascii="宋体" w:hAnsi="宋体" w:eastAsia="宋体" w:cs="宋体"/>
                <w:sz w:val="24"/>
                <w:szCs w:val="24"/>
              </w:rPr>
            </w:pPr>
            <w:r>
              <w:rPr>
                <w:rFonts w:hint="eastAsia"/>
              </w:rPr>
              <w:t>注：本表反映部门本年度取得的各项收入情况。</w:t>
            </w:r>
          </w:p>
        </w:tc>
      </w:tr>
    </w:tbl>
    <w:p>
      <w:pPr>
        <w:widowControl/>
        <w:jc w:val="left"/>
        <w:rPr>
          <w:rFonts w:hint="eastAsia" w:ascii="华文中宋" w:hAnsi="华文中宋" w:eastAsia="华文中宋" w:cs="宋体"/>
          <w:color w:val="000000"/>
          <w:kern w:val="0"/>
          <w:sz w:val="32"/>
          <w:szCs w:val="32"/>
        </w:rPr>
      </w:pPr>
      <w:r>
        <w:rPr>
          <w:rFonts w:ascii="Times New Roman" w:hAnsi="Times New Roman" w:eastAsia="黑体" w:cs="Times New Roman"/>
          <w:bCs/>
          <w:kern w:val="0"/>
          <w:sz w:val="32"/>
          <w:szCs w:val="32"/>
        </w:rPr>
        <w:t xml:space="preserve"> </w:t>
      </w:r>
      <w:r>
        <w:rPr>
          <w:rFonts w:hint="eastAsia" w:ascii="华文中宋" w:hAnsi="华文中宋" w:eastAsia="华文中宋" w:cs="宋体"/>
          <w:color w:val="000000"/>
          <w:kern w:val="0"/>
          <w:sz w:val="32"/>
          <w:szCs w:val="32"/>
        </w:rPr>
        <w:br w:type="page"/>
      </w:r>
    </w:p>
    <w:tbl>
      <w:tblPr>
        <w:tblStyle w:val="9"/>
        <w:tblpPr w:leftFromText="180" w:rightFromText="180" w:vertAnchor="text" w:horzAnchor="page" w:tblpX="1861" w:tblpY="565"/>
        <w:tblOverlap w:val="never"/>
        <w:tblW w:w="13183" w:type="dxa"/>
        <w:tblInd w:w="0" w:type="dxa"/>
        <w:tblLayout w:type="fixed"/>
        <w:tblCellMar>
          <w:top w:w="0" w:type="dxa"/>
          <w:left w:w="108" w:type="dxa"/>
          <w:bottom w:w="0" w:type="dxa"/>
          <w:right w:w="108" w:type="dxa"/>
        </w:tblCellMar>
      </w:tblPr>
      <w:tblGrid>
        <w:gridCol w:w="1042"/>
        <w:gridCol w:w="240"/>
        <w:gridCol w:w="3083"/>
        <w:gridCol w:w="1140"/>
        <w:gridCol w:w="1125"/>
        <w:gridCol w:w="1077"/>
        <w:gridCol w:w="1698"/>
        <w:gridCol w:w="1395"/>
        <w:gridCol w:w="2383"/>
      </w:tblGrid>
      <w:tr>
        <w:tblPrEx>
          <w:tblCellMar>
            <w:top w:w="0" w:type="dxa"/>
            <w:left w:w="108" w:type="dxa"/>
            <w:bottom w:w="0" w:type="dxa"/>
            <w:right w:w="108" w:type="dxa"/>
          </w:tblCellMar>
        </w:tblPrEx>
        <w:trPr>
          <w:trHeight w:val="435" w:hRule="atLeast"/>
        </w:trPr>
        <w:tc>
          <w:tcPr>
            <w:tcW w:w="13183"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tblPrEx>
          <w:tblCellMar>
            <w:top w:w="0" w:type="dxa"/>
            <w:left w:w="108" w:type="dxa"/>
            <w:bottom w:w="0" w:type="dxa"/>
            <w:right w:w="108" w:type="dxa"/>
          </w:tblCellMar>
        </w:tblPrEx>
        <w:trPr>
          <w:trHeight w:val="285" w:hRule="atLeast"/>
        </w:trPr>
        <w:tc>
          <w:tcPr>
            <w:tcW w:w="104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08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14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12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9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8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tblPrEx>
          <w:tblCellMar>
            <w:top w:w="0" w:type="dxa"/>
            <w:left w:w="108" w:type="dxa"/>
            <w:bottom w:w="0" w:type="dxa"/>
            <w:right w:w="108" w:type="dxa"/>
          </w:tblCellMar>
        </w:tblPrEx>
        <w:trPr>
          <w:trHeight w:val="285" w:hRule="atLeast"/>
        </w:trPr>
        <w:tc>
          <w:tcPr>
            <w:tcW w:w="1042"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24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08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14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12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7" w:type="dxa"/>
            <w:tcBorders>
              <w:top w:val="nil"/>
              <w:left w:val="nil"/>
              <w:bottom w:val="nil"/>
              <w:right w:val="nil"/>
            </w:tcBorders>
            <w:shd w:val="clear" w:color="000000" w:fill="FFFFFF"/>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69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8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50" w:hRule="atLeast"/>
        </w:trPr>
        <w:tc>
          <w:tcPr>
            <w:tcW w:w="4365"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14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12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077"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698"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39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238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tblPrEx>
          <w:tblCellMar>
            <w:top w:w="0" w:type="dxa"/>
            <w:left w:w="108" w:type="dxa"/>
            <w:bottom w:w="0" w:type="dxa"/>
            <w:right w:w="108" w:type="dxa"/>
          </w:tblCellMar>
        </w:tblPrEx>
        <w:trPr>
          <w:trHeight w:val="450" w:hRule="atLeast"/>
        </w:trPr>
        <w:tc>
          <w:tcPr>
            <w:tcW w:w="1282"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3083"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12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07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9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39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3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330" w:hRule="atLeast"/>
        </w:trPr>
        <w:tc>
          <w:tcPr>
            <w:tcW w:w="1282"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3083"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12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07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9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39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3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390" w:hRule="atLeast"/>
        </w:trPr>
        <w:tc>
          <w:tcPr>
            <w:tcW w:w="436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14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12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07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69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39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38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tblPrEx>
          <w:tblCellMar>
            <w:top w:w="0" w:type="dxa"/>
            <w:left w:w="108" w:type="dxa"/>
            <w:bottom w:w="0" w:type="dxa"/>
            <w:right w:w="108" w:type="dxa"/>
          </w:tblCellMar>
        </w:tblPrEx>
        <w:trPr>
          <w:trHeight w:val="450" w:hRule="atLeast"/>
        </w:trPr>
        <w:tc>
          <w:tcPr>
            <w:tcW w:w="436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i w:val="0"/>
                <w:color w:val="000000"/>
                <w:kern w:val="0"/>
                <w:sz w:val="22"/>
                <w:szCs w:val="22"/>
                <w:u w:val="none"/>
                <w:lang w:val="en-US" w:eastAsia="zh-CN" w:bidi="ar"/>
              </w:rPr>
              <w:t>1623.29</w:t>
            </w:r>
          </w:p>
        </w:tc>
        <w:tc>
          <w:tcPr>
            <w:tcW w:w="112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kern w:val="0"/>
                <w:sz w:val="24"/>
                <w:szCs w:val="24"/>
                <w:lang w:val="en-US"/>
              </w:rPr>
            </w:pPr>
            <w:r>
              <w:rPr>
                <w:rFonts w:hint="eastAsia" w:ascii="宋体" w:hAnsi="宋体" w:eastAsia="宋体" w:cs="宋体"/>
                <w:b/>
                <w:i w:val="0"/>
                <w:color w:val="000000"/>
                <w:kern w:val="0"/>
                <w:sz w:val="22"/>
                <w:szCs w:val="22"/>
                <w:u w:val="none"/>
                <w:lang w:val="en-US" w:eastAsia="zh-CN" w:bidi="ar"/>
              </w:rPr>
              <w:t>1623.29</w:t>
            </w:r>
          </w:p>
        </w:tc>
        <w:tc>
          <w:tcPr>
            <w:tcW w:w="107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kern w:val="0"/>
                <w:sz w:val="24"/>
                <w:szCs w:val="24"/>
                <w:lang w:val="en-US"/>
              </w:rPr>
            </w:pPr>
            <w:r>
              <w:rPr>
                <w:rFonts w:hint="eastAsia" w:ascii="宋体" w:hAnsi="宋体" w:eastAsia="宋体" w:cs="宋体"/>
                <w:b/>
                <w:i w:val="0"/>
                <w:color w:val="000000"/>
                <w:kern w:val="0"/>
                <w:sz w:val="22"/>
                <w:szCs w:val="22"/>
                <w:u w:val="none"/>
                <w:lang w:val="en-US" w:eastAsia="zh-CN" w:bidi="ar"/>
              </w:rPr>
              <w:t>0.00</w:t>
            </w:r>
          </w:p>
        </w:tc>
        <w:tc>
          <w:tcPr>
            <w:tcW w:w="16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i w:val="0"/>
                <w:color w:val="000000"/>
                <w:kern w:val="0"/>
                <w:sz w:val="22"/>
                <w:szCs w:val="22"/>
                <w:u w:val="none"/>
                <w:lang w:val="en-US" w:eastAsia="zh-CN" w:bidi="ar"/>
              </w:rPr>
              <w:t>0.00</w:t>
            </w:r>
          </w:p>
        </w:tc>
        <w:tc>
          <w:tcPr>
            <w:tcW w:w="13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i w:val="0"/>
                <w:color w:val="000000"/>
                <w:kern w:val="0"/>
                <w:sz w:val="22"/>
                <w:szCs w:val="22"/>
                <w:u w:val="none"/>
                <w:lang w:val="en-US" w:eastAsia="zh-CN" w:bidi="ar"/>
              </w:rPr>
              <w:t>0.00</w:t>
            </w:r>
          </w:p>
        </w:tc>
        <w:tc>
          <w:tcPr>
            <w:tcW w:w="2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205</w:t>
            </w:r>
          </w:p>
        </w:tc>
        <w:tc>
          <w:tcPr>
            <w:tcW w:w="30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教育支出</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10.00</w:t>
            </w:r>
          </w:p>
        </w:tc>
        <w:tc>
          <w:tcPr>
            <w:tcW w:w="112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10.00</w:t>
            </w:r>
          </w:p>
        </w:tc>
        <w:tc>
          <w:tcPr>
            <w:tcW w:w="107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6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3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2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20599</w:t>
            </w:r>
          </w:p>
        </w:tc>
        <w:tc>
          <w:tcPr>
            <w:tcW w:w="30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其他教育支出</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10.00</w:t>
            </w:r>
          </w:p>
        </w:tc>
        <w:tc>
          <w:tcPr>
            <w:tcW w:w="112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10.00</w:t>
            </w:r>
          </w:p>
        </w:tc>
        <w:tc>
          <w:tcPr>
            <w:tcW w:w="107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6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3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2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2059999</w:t>
            </w:r>
          </w:p>
        </w:tc>
        <w:tc>
          <w:tcPr>
            <w:tcW w:w="30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其他教育支出</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10.00</w:t>
            </w:r>
          </w:p>
        </w:tc>
        <w:tc>
          <w:tcPr>
            <w:tcW w:w="112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10.00</w:t>
            </w:r>
          </w:p>
        </w:tc>
        <w:tc>
          <w:tcPr>
            <w:tcW w:w="107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6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3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2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w:t>
            </w:r>
          </w:p>
        </w:tc>
        <w:tc>
          <w:tcPr>
            <w:tcW w:w="30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59.94</w:t>
            </w:r>
          </w:p>
        </w:tc>
        <w:tc>
          <w:tcPr>
            <w:tcW w:w="112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59.94</w:t>
            </w:r>
          </w:p>
        </w:tc>
        <w:tc>
          <w:tcPr>
            <w:tcW w:w="107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6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3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2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654"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20805</w:t>
            </w:r>
          </w:p>
        </w:tc>
        <w:tc>
          <w:tcPr>
            <w:tcW w:w="30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54.95</w:t>
            </w:r>
          </w:p>
        </w:tc>
        <w:tc>
          <w:tcPr>
            <w:tcW w:w="112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54.95</w:t>
            </w:r>
          </w:p>
        </w:tc>
        <w:tc>
          <w:tcPr>
            <w:tcW w:w="107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6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3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2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2080501</w:t>
            </w:r>
          </w:p>
        </w:tc>
        <w:tc>
          <w:tcPr>
            <w:tcW w:w="30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行政单位离退休</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1.84</w:t>
            </w:r>
          </w:p>
        </w:tc>
        <w:tc>
          <w:tcPr>
            <w:tcW w:w="112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1.84</w:t>
            </w:r>
          </w:p>
        </w:tc>
        <w:tc>
          <w:tcPr>
            <w:tcW w:w="107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6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3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2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2080505</w:t>
            </w:r>
          </w:p>
        </w:tc>
        <w:tc>
          <w:tcPr>
            <w:tcW w:w="30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53.11</w:t>
            </w:r>
          </w:p>
        </w:tc>
        <w:tc>
          <w:tcPr>
            <w:tcW w:w="112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53.11</w:t>
            </w:r>
          </w:p>
        </w:tc>
        <w:tc>
          <w:tcPr>
            <w:tcW w:w="107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6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3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2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20899</w:t>
            </w:r>
          </w:p>
        </w:tc>
        <w:tc>
          <w:tcPr>
            <w:tcW w:w="30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5.00</w:t>
            </w:r>
          </w:p>
        </w:tc>
        <w:tc>
          <w:tcPr>
            <w:tcW w:w="112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5.00</w:t>
            </w:r>
          </w:p>
        </w:tc>
        <w:tc>
          <w:tcPr>
            <w:tcW w:w="107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6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3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2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2089999</w:t>
            </w:r>
          </w:p>
        </w:tc>
        <w:tc>
          <w:tcPr>
            <w:tcW w:w="30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其他社会保障和就业支出</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5.00</w:t>
            </w:r>
          </w:p>
        </w:tc>
        <w:tc>
          <w:tcPr>
            <w:tcW w:w="112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5.00</w:t>
            </w:r>
          </w:p>
        </w:tc>
        <w:tc>
          <w:tcPr>
            <w:tcW w:w="107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6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3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2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w:t>
            </w:r>
          </w:p>
        </w:tc>
        <w:tc>
          <w:tcPr>
            <w:tcW w:w="30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卫生健康支出</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1,522.27</w:t>
            </w:r>
          </w:p>
        </w:tc>
        <w:tc>
          <w:tcPr>
            <w:tcW w:w="112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1,522.27</w:t>
            </w:r>
          </w:p>
        </w:tc>
        <w:tc>
          <w:tcPr>
            <w:tcW w:w="107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6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3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2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21001</w:t>
            </w:r>
          </w:p>
        </w:tc>
        <w:tc>
          <w:tcPr>
            <w:tcW w:w="30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卫生健康管理事务</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1,228.81</w:t>
            </w:r>
          </w:p>
        </w:tc>
        <w:tc>
          <w:tcPr>
            <w:tcW w:w="112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1,228.81</w:t>
            </w:r>
          </w:p>
        </w:tc>
        <w:tc>
          <w:tcPr>
            <w:tcW w:w="107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6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3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2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2100101</w:t>
            </w:r>
          </w:p>
        </w:tc>
        <w:tc>
          <w:tcPr>
            <w:tcW w:w="30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1,166.76</w:t>
            </w:r>
          </w:p>
        </w:tc>
        <w:tc>
          <w:tcPr>
            <w:tcW w:w="112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1,166.76</w:t>
            </w:r>
          </w:p>
        </w:tc>
        <w:tc>
          <w:tcPr>
            <w:tcW w:w="107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6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3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2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2100199</w:t>
            </w:r>
          </w:p>
        </w:tc>
        <w:tc>
          <w:tcPr>
            <w:tcW w:w="30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其他卫生健康管理事务支出</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62.06</w:t>
            </w:r>
          </w:p>
        </w:tc>
        <w:tc>
          <w:tcPr>
            <w:tcW w:w="112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62.06</w:t>
            </w:r>
          </w:p>
        </w:tc>
        <w:tc>
          <w:tcPr>
            <w:tcW w:w="107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6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3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2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21002</w:t>
            </w:r>
          </w:p>
        </w:tc>
        <w:tc>
          <w:tcPr>
            <w:tcW w:w="30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公立医院</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5.23</w:t>
            </w:r>
          </w:p>
        </w:tc>
        <w:tc>
          <w:tcPr>
            <w:tcW w:w="112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5.23</w:t>
            </w:r>
          </w:p>
        </w:tc>
        <w:tc>
          <w:tcPr>
            <w:tcW w:w="107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6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3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2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2100201</w:t>
            </w:r>
          </w:p>
        </w:tc>
        <w:tc>
          <w:tcPr>
            <w:tcW w:w="30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综合医院</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3.67</w:t>
            </w:r>
          </w:p>
        </w:tc>
        <w:tc>
          <w:tcPr>
            <w:tcW w:w="112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3.67</w:t>
            </w:r>
          </w:p>
        </w:tc>
        <w:tc>
          <w:tcPr>
            <w:tcW w:w="107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6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3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2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2100202</w:t>
            </w:r>
          </w:p>
        </w:tc>
        <w:tc>
          <w:tcPr>
            <w:tcW w:w="30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中医（民族）医院</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1.56</w:t>
            </w:r>
          </w:p>
        </w:tc>
        <w:tc>
          <w:tcPr>
            <w:tcW w:w="112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1.56</w:t>
            </w:r>
          </w:p>
        </w:tc>
        <w:tc>
          <w:tcPr>
            <w:tcW w:w="107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6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3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2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21003</w:t>
            </w:r>
          </w:p>
        </w:tc>
        <w:tc>
          <w:tcPr>
            <w:tcW w:w="30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基层医疗卫生机构</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103.24</w:t>
            </w:r>
          </w:p>
        </w:tc>
        <w:tc>
          <w:tcPr>
            <w:tcW w:w="112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103.24</w:t>
            </w:r>
          </w:p>
        </w:tc>
        <w:tc>
          <w:tcPr>
            <w:tcW w:w="107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6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3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2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2100302</w:t>
            </w:r>
          </w:p>
        </w:tc>
        <w:tc>
          <w:tcPr>
            <w:tcW w:w="30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乡镇卫生院</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39.15</w:t>
            </w:r>
          </w:p>
        </w:tc>
        <w:tc>
          <w:tcPr>
            <w:tcW w:w="112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39.15</w:t>
            </w:r>
          </w:p>
        </w:tc>
        <w:tc>
          <w:tcPr>
            <w:tcW w:w="107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6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3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2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2100399</w:t>
            </w:r>
          </w:p>
        </w:tc>
        <w:tc>
          <w:tcPr>
            <w:tcW w:w="30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其他基层医疗卫生机构支出</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64.09</w:t>
            </w:r>
          </w:p>
        </w:tc>
        <w:tc>
          <w:tcPr>
            <w:tcW w:w="112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64.09</w:t>
            </w:r>
          </w:p>
        </w:tc>
        <w:tc>
          <w:tcPr>
            <w:tcW w:w="107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6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3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2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21004</w:t>
            </w:r>
          </w:p>
        </w:tc>
        <w:tc>
          <w:tcPr>
            <w:tcW w:w="30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公共卫生</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23.55</w:t>
            </w:r>
          </w:p>
        </w:tc>
        <w:tc>
          <w:tcPr>
            <w:tcW w:w="112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23.55</w:t>
            </w:r>
          </w:p>
        </w:tc>
        <w:tc>
          <w:tcPr>
            <w:tcW w:w="107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6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3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2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2100410</w:t>
            </w:r>
          </w:p>
        </w:tc>
        <w:tc>
          <w:tcPr>
            <w:tcW w:w="30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突发公共卫生事件应急处理</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23.55</w:t>
            </w:r>
          </w:p>
        </w:tc>
        <w:tc>
          <w:tcPr>
            <w:tcW w:w="112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23.55</w:t>
            </w:r>
          </w:p>
        </w:tc>
        <w:tc>
          <w:tcPr>
            <w:tcW w:w="107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6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3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2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21006</w:t>
            </w:r>
          </w:p>
        </w:tc>
        <w:tc>
          <w:tcPr>
            <w:tcW w:w="30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中医药</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2.28</w:t>
            </w:r>
          </w:p>
        </w:tc>
        <w:tc>
          <w:tcPr>
            <w:tcW w:w="112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2.28</w:t>
            </w:r>
          </w:p>
        </w:tc>
        <w:tc>
          <w:tcPr>
            <w:tcW w:w="107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6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3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2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2100601</w:t>
            </w:r>
          </w:p>
        </w:tc>
        <w:tc>
          <w:tcPr>
            <w:tcW w:w="30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中医（民族医）药专项</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2.28</w:t>
            </w:r>
          </w:p>
        </w:tc>
        <w:tc>
          <w:tcPr>
            <w:tcW w:w="112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2.28</w:t>
            </w:r>
          </w:p>
        </w:tc>
        <w:tc>
          <w:tcPr>
            <w:tcW w:w="107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6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3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2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21007</w:t>
            </w:r>
          </w:p>
        </w:tc>
        <w:tc>
          <w:tcPr>
            <w:tcW w:w="30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计划生育事务</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61.15</w:t>
            </w:r>
          </w:p>
        </w:tc>
        <w:tc>
          <w:tcPr>
            <w:tcW w:w="112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61.15</w:t>
            </w:r>
          </w:p>
        </w:tc>
        <w:tc>
          <w:tcPr>
            <w:tcW w:w="107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6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3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2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2100799</w:t>
            </w:r>
          </w:p>
        </w:tc>
        <w:tc>
          <w:tcPr>
            <w:tcW w:w="30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其他计划生育事务支出</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61.15</w:t>
            </w:r>
          </w:p>
        </w:tc>
        <w:tc>
          <w:tcPr>
            <w:tcW w:w="112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61.15</w:t>
            </w:r>
          </w:p>
        </w:tc>
        <w:tc>
          <w:tcPr>
            <w:tcW w:w="107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6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3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2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21011</w:t>
            </w:r>
          </w:p>
        </w:tc>
        <w:tc>
          <w:tcPr>
            <w:tcW w:w="30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行政事业单位医疗</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32.76</w:t>
            </w:r>
          </w:p>
        </w:tc>
        <w:tc>
          <w:tcPr>
            <w:tcW w:w="112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32.76</w:t>
            </w:r>
          </w:p>
        </w:tc>
        <w:tc>
          <w:tcPr>
            <w:tcW w:w="107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6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3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2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2101101</w:t>
            </w:r>
          </w:p>
        </w:tc>
        <w:tc>
          <w:tcPr>
            <w:tcW w:w="30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行政单位医疗</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32.76</w:t>
            </w:r>
          </w:p>
        </w:tc>
        <w:tc>
          <w:tcPr>
            <w:tcW w:w="112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32.76</w:t>
            </w:r>
          </w:p>
        </w:tc>
        <w:tc>
          <w:tcPr>
            <w:tcW w:w="107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6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3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2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21016</w:t>
            </w:r>
          </w:p>
        </w:tc>
        <w:tc>
          <w:tcPr>
            <w:tcW w:w="30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老龄卫生健康事务</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5.00</w:t>
            </w:r>
          </w:p>
        </w:tc>
        <w:tc>
          <w:tcPr>
            <w:tcW w:w="112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5.00</w:t>
            </w:r>
          </w:p>
        </w:tc>
        <w:tc>
          <w:tcPr>
            <w:tcW w:w="107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6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3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2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2101601</w:t>
            </w:r>
          </w:p>
        </w:tc>
        <w:tc>
          <w:tcPr>
            <w:tcW w:w="30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老龄卫生健康事务</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5.00</w:t>
            </w:r>
          </w:p>
        </w:tc>
        <w:tc>
          <w:tcPr>
            <w:tcW w:w="112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5.00</w:t>
            </w:r>
          </w:p>
        </w:tc>
        <w:tc>
          <w:tcPr>
            <w:tcW w:w="107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6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3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2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21099</w:t>
            </w:r>
          </w:p>
        </w:tc>
        <w:tc>
          <w:tcPr>
            <w:tcW w:w="30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其他卫生健康支出</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60.24</w:t>
            </w:r>
          </w:p>
        </w:tc>
        <w:tc>
          <w:tcPr>
            <w:tcW w:w="112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60.24</w:t>
            </w:r>
          </w:p>
        </w:tc>
        <w:tc>
          <w:tcPr>
            <w:tcW w:w="107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6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3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2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2109999</w:t>
            </w:r>
          </w:p>
        </w:tc>
        <w:tc>
          <w:tcPr>
            <w:tcW w:w="30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其他卫生健康支出</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60.24</w:t>
            </w:r>
          </w:p>
        </w:tc>
        <w:tc>
          <w:tcPr>
            <w:tcW w:w="112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60.24</w:t>
            </w:r>
          </w:p>
        </w:tc>
        <w:tc>
          <w:tcPr>
            <w:tcW w:w="107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6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3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2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w:t>
            </w:r>
          </w:p>
        </w:tc>
        <w:tc>
          <w:tcPr>
            <w:tcW w:w="30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住房保障支出</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31.08</w:t>
            </w:r>
          </w:p>
        </w:tc>
        <w:tc>
          <w:tcPr>
            <w:tcW w:w="112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31.08</w:t>
            </w:r>
          </w:p>
        </w:tc>
        <w:tc>
          <w:tcPr>
            <w:tcW w:w="107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6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3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2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22102</w:t>
            </w:r>
          </w:p>
        </w:tc>
        <w:tc>
          <w:tcPr>
            <w:tcW w:w="30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住房改革支出</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31.08</w:t>
            </w:r>
          </w:p>
        </w:tc>
        <w:tc>
          <w:tcPr>
            <w:tcW w:w="112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31.08</w:t>
            </w:r>
          </w:p>
        </w:tc>
        <w:tc>
          <w:tcPr>
            <w:tcW w:w="107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6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3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2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2210201</w:t>
            </w:r>
          </w:p>
        </w:tc>
        <w:tc>
          <w:tcPr>
            <w:tcW w:w="30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31.08</w:t>
            </w:r>
          </w:p>
        </w:tc>
        <w:tc>
          <w:tcPr>
            <w:tcW w:w="112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31.08</w:t>
            </w:r>
          </w:p>
        </w:tc>
        <w:tc>
          <w:tcPr>
            <w:tcW w:w="107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6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13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c>
          <w:tcPr>
            <w:tcW w:w="23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630" w:hRule="atLeast"/>
        </w:trPr>
        <w:tc>
          <w:tcPr>
            <w:tcW w:w="13183" w:type="dxa"/>
            <w:gridSpan w:val="9"/>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pPr>
        <w:widowControl/>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tbl>
      <w:tblPr>
        <w:tblStyle w:val="9"/>
        <w:tblW w:w="15521" w:type="dxa"/>
        <w:tblInd w:w="93" w:type="dxa"/>
        <w:tblLayout w:type="fixed"/>
        <w:tblCellMar>
          <w:top w:w="0" w:type="dxa"/>
          <w:left w:w="108" w:type="dxa"/>
          <w:bottom w:w="0" w:type="dxa"/>
          <w:right w:w="108" w:type="dxa"/>
        </w:tblCellMar>
      </w:tblPr>
      <w:tblGrid>
        <w:gridCol w:w="3027"/>
        <w:gridCol w:w="795"/>
        <w:gridCol w:w="1379"/>
        <w:gridCol w:w="491"/>
        <w:gridCol w:w="2887"/>
        <w:gridCol w:w="626"/>
        <w:gridCol w:w="433"/>
        <w:gridCol w:w="1559"/>
        <w:gridCol w:w="1382"/>
        <w:gridCol w:w="1382"/>
        <w:gridCol w:w="1560"/>
      </w:tblGrid>
      <w:tr>
        <w:tblPrEx>
          <w:tblCellMar>
            <w:top w:w="0" w:type="dxa"/>
            <w:left w:w="108" w:type="dxa"/>
            <w:bottom w:w="0" w:type="dxa"/>
            <w:right w:w="108" w:type="dxa"/>
          </w:tblCellMar>
        </w:tblPrEx>
        <w:trPr>
          <w:trHeight w:val="285" w:hRule="atLeast"/>
        </w:trPr>
        <w:tc>
          <w:tcPr>
            <w:tcW w:w="3027" w:type="dxa"/>
            <w:tcBorders>
              <w:top w:val="nil"/>
              <w:left w:val="nil"/>
              <w:bottom w:val="nil"/>
              <w:right w:val="nil"/>
            </w:tcBorders>
            <w:shd w:val="clear" w:color="auto" w:fill="auto"/>
            <w:noWrap/>
            <w:vAlign w:val="center"/>
          </w:tcPr>
          <w:p>
            <w:pPr>
              <w:widowControl/>
              <w:jc w:val="left"/>
              <w:rPr>
                <w:rFonts w:ascii="黑体" w:hAnsi="黑体" w:eastAsia="黑体" w:cs="宋体"/>
                <w:kern w:val="0"/>
                <w:sz w:val="24"/>
                <w:szCs w:val="24"/>
              </w:rPr>
            </w:pPr>
            <w:bookmarkStart w:id="0" w:name="RANGE!A1:I22"/>
            <w:bookmarkEnd w:id="0"/>
            <w:bookmarkStart w:id="1" w:name="RANGE!A1:F16"/>
          </w:p>
        </w:tc>
        <w:tc>
          <w:tcPr>
            <w:tcW w:w="795"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870"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3513"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43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59"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82"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82"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60"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pPr>
              <w:widowControl/>
              <w:jc w:val="center"/>
              <w:rPr>
                <w:rFonts w:hint="eastAsia" w:ascii="华文中宋" w:hAnsi="华文中宋" w:eastAsia="华文中宋" w:cs="宋体"/>
                <w:color w:val="000000"/>
                <w:kern w:val="0"/>
                <w:sz w:val="32"/>
                <w:szCs w:val="32"/>
              </w:rPr>
            </w:pPr>
          </w:p>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02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79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04"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5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8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8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60"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tblPrEx>
          <w:tblCellMar>
            <w:top w:w="0" w:type="dxa"/>
            <w:left w:w="108" w:type="dxa"/>
            <w:bottom w:w="0" w:type="dxa"/>
            <w:right w:w="108" w:type="dxa"/>
          </w:tblCellMar>
        </w:tblPrEx>
        <w:trPr>
          <w:trHeight w:val="300" w:hRule="atLeast"/>
        </w:trPr>
        <w:tc>
          <w:tcPr>
            <w:tcW w:w="3027"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79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04"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5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8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8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60"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201"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320" w:type="dxa"/>
            <w:gridSpan w:val="8"/>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630"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7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37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378"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59"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8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8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7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37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378"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59"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8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8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一、一般公共预算财政拨款</w:t>
            </w:r>
          </w:p>
        </w:tc>
        <w:tc>
          <w:tcPr>
            <w:tcW w:w="7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1</w:t>
            </w:r>
          </w:p>
        </w:tc>
        <w:tc>
          <w:tcPr>
            <w:tcW w:w="13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1,135.25</w:t>
            </w:r>
          </w:p>
        </w:tc>
        <w:tc>
          <w:tcPr>
            <w:tcW w:w="337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一、一般公共服务支出</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33</w:t>
            </w:r>
          </w:p>
        </w:tc>
        <w:tc>
          <w:tcPr>
            <w:tcW w:w="155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8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8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二、政府性基金预算财政拨款</w:t>
            </w:r>
          </w:p>
        </w:tc>
        <w:tc>
          <w:tcPr>
            <w:tcW w:w="7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2</w:t>
            </w:r>
          </w:p>
        </w:tc>
        <w:tc>
          <w:tcPr>
            <w:tcW w:w="13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二、外交支出</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34</w:t>
            </w:r>
          </w:p>
        </w:tc>
        <w:tc>
          <w:tcPr>
            <w:tcW w:w="155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8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8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三、国有资本经营财政拨款</w:t>
            </w:r>
          </w:p>
        </w:tc>
        <w:tc>
          <w:tcPr>
            <w:tcW w:w="7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3</w:t>
            </w:r>
          </w:p>
        </w:tc>
        <w:tc>
          <w:tcPr>
            <w:tcW w:w="13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三、国防支出</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35</w:t>
            </w:r>
          </w:p>
        </w:tc>
        <w:tc>
          <w:tcPr>
            <w:tcW w:w="155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8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8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pPr>
              <w:jc w:val="left"/>
              <w:rPr>
                <w:rFonts w:ascii="宋体" w:hAnsi="宋体" w:eastAsia="宋体" w:cs="宋体"/>
                <w:kern w:val="0"/>
                <w:sz w:val="22"/>
              </w:rPr>
            </w:pPr>
          </w:p>
        </w:tc>
        <w:tc>
          <w:tcPr>
            <w:tcW w:w="7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4</w:t>
            </w:r>
          </w:p>
        </w:tc>
        <w:tc>
          <w:tcPr>
            <w:tcW w:w="137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四、公共安全支出</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36</w:t>
            </w:r>
          </w:p>
        </w:tc>
        <w:tc>
          <w:tcPr>
            <w:tcW w:w="155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8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8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pPr>
              <w:jc w:val="left"/>
              <w:rPr>
                <w:rFonts w:ascii="宋体" w:hAnsi="宋体" w:eastAsia="宋体" w:cs="宋体"/>
                <w:kern w:val="0"/>
                <w:sz w:val="22"/>
              </w:rPr>
            </w:pPr>
          </w:p>
        </w:tc>
        <w:tc>
          <w:tcPr>
            <w:tcW w:w="7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5</w:t>
            </w:r>
          </w:p>
        </w:tc>
        <w:tc>
          <w:tcPr>
            <w:tcW w:w="137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五、教育支出</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37</w:t>
            </w:r>
          </w:p>
        </w:tc>
        <w:tc>
          <w:tcPr>
            <w:tcW w:w="155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10.00</w:t>
            </w:r>
          </w:p>
        </w:tc>
        <w:tc>
          <w:tcPr>
            <w:tcW w:w="138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10.00</w:t>
            </w:r>
          </w:p>
        </w:tc>
        <w:tc>
          <w:tcPr>
            <w:tcW w:w="138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pPr>
              <w:jc w:val="left"/>
              <w:rPr>
                <w:rFonts w:ascii="宋体" w:hAnsi="宋体" w:eastAsia="宋体" w:cs="宋体"/>
                <w:kern w:val="0"/>
                <w:sz w:val="22"/>
              </w:rPr>
            </w:pPr>
          </w:p>
        </w:tc>
        <w:tc>
          <w:tcPr>
            <w:tcW w:w="7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6</w:t>
            </w:r>
          </w:p>
        </w:tc>
        <w:tc>
          <w:tcPr>
            <w:tcW w:w="137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六、科学技术支出</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38</w:t>
            </w:r>
          </w:p>
        </w:tc>
        <w:tc>
          <w:tcPr>
            <w:tcW w:w="155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8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8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kern w:val="0"/>
                <w:sz w:val="22"/>
              </w:rPr>
            </w:pPr>
          </w:p>
        </w:tc>
        <w:tc>
          <w:tcPr>
            <w:tcW w:w="7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7</w:t>
            </w:r>
          </w:p>
        </w:tc>
        <w:tc>
          <w:tcPr>
            <w:tcW w:w="137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七、文化旅游体育与传媒支出</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39</w:t>
            </w:r>
          </w:p>
        </w:tc>
        <w:tc>
          <w:tcPr>
            <w:tcW w:w="155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82"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8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kern w:val="0"/>
                <w:sz w:val="22"/>
              </w:rPr>
            </w:pPr>
          </w:p>
        </w:tc>
        <w:tc>
          <w:tcPr>
            <w:tcW w:w="7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8</w:t>
            </w:r>
          </w:p>
        </w:tc>
        <w:tc>
          <w:tcPr>
            <w:tcW w:w="137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八、社会保障和就业支出</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40</w:t>
            </w:r>
          </w:p>
        </w:tc>
        <w:tc>
          <w:tcPr>
            <w:tcW w:w="155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59.94</w:t>
            </w:r>
          </w:p>
        </w:tc>
        <w:tc>
          <w:tcPr>
            <w:tcW w:w="138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59.94</w:t>
            </w:r>
          </w:p>
        </w:tc>
        <w:tc>
          <w:tcPr>
            <w:tcW w:w="138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kern w:val="0"/>
                <w:sz w:val="22"/>
              </w:rPr>
            </w:pPr>
          </w:p>
        </w:tc>
        <w:tc>
          <w:tcPr>
            <w:tcW w:w="7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9</w:t>
            </w:r>
          </w:p>
        </w:tc>
        <w:tc>
          <w:tcPr>
            <w:tcW w:w="137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九、卫生健康支出</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41</w:t>
            </w:r>
          </w:p>
        </w:tc>
        <w:tc>
          <w:tcPr>
            <w:tcW w:w="155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1,034.23</w:t>
            </w:r>
          </w:p>
        </w:tc>
        <w:tc>
          <w:tcPr>
            <w:tcW w:w="138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1,034.23</w:t>
            </w:r>
          </w:p>
        </w:tc>
        <w:tc>
          <w:tcPr>
            <w:tcW w:w="138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kern w:val="0"/>
                <w:sz w:val="22"/>
              </w:rPr>
            </w:pPr>
          </w:p>
        </w:tc>
        <w:tc>
          <w:tcPr>
            <w:tcW w:w="7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10</w:t>
            </w:r>
          </w:p>
        </w:tc>
        <w:tc>
          <w:tcPr>
            <w:tcW w:w="137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十、节能环保支出</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42</w:t>
            </w:r>
          </w:p>
        </w:tc>
        <w:tc>
          <w:tcPr>
            <w:tcW w:w="155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82"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8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kern w:val="0"/>
                <w:sz w:val="22"/>
              </w:rPr>
            </w:pPr>
          </w:p>
        </w:tc>
        <w:tc>
          <w:tcPr>
            <w:tcW w:w="7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11</w:t>
            </w:r>
          </w:p>
        </w:tc>
        <w:tc>
          <w:tcPr>
            <w:tcW w:w="137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十一、城乡社区支出</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43</w:t>
            </w:r>
          </w:p>
        </w:tc>
        <w:tc>
          <w:tcPr>
            <w:tcW w:w="155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82"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8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kern w:val="0"/>
                <w:sz w:val="22"/>
              </w:rPr>
            </w:pPr>
          </w:p>
        </w:tc>
        <w:tc>
          <w:tcPr>
            <w:tcW w:w="7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12</w:t>
            </w:r>
          </w:p>
        </w:tc>
        <w:tc>
          <w:tcPr>
            <w:tcW w:w="137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十二、农林水支出</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44</w:t>
            </w:r>
          </w:p>
        </w:tc>
        <w:tc>
          <w:tcPr>
            <w:tcW w:w="155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82"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8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kern w:val="0"/>
                <w:sz w:val="22"/>
              </w:rPr>
            </w:pPr>
          </w:p>
        </w:tc>
        <w:tc>
          <w:tcPr>
            <w:tcW w:w="7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13</w:t>
            </w:r>
          </w:p>
        </w:tc>
        <w:tc>
          <w:tcPr>
            <w:tcW w:w="137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十三、交通运输支出</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45</w:t>
            </w:r>
          </w:p>
        </w:tc>
        <w:tc>
          <w:tcPr>
            <w:tcW w:w="155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82"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8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kern w:val="0"/>
                <w:sz w:val="22"/>
              </w:rPr>
            </w:pPr>
          </w:p>
        </w:tc>
        <w:tc>
          <w:tcPr>
            <w:tcW w:w="7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14</w:t>
            </w:r>
          </w:p>
        </w:tc>
        <w:tc>
          <w:tcPr>
            <w:tcW w:w="137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十四、资源勘探工业信息等支出</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46</w:t>
            </w:r>
          </w:p>
        </w:tc>
        <w:tc>
          <w:tcPr>
            <w:tcW w:w="155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82"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8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kern w:val="0"/>
                <w:sz w:val="22"/>
              </w:rPr>
            </w:pPr>
          </w:p>
        </w:tc>
        <w:tc>
          <w:tcPr>
            <w:tcW w:w="7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15</w:t>
            </w:r>
          </w:p>
        </w:tc>
        <w:tc>
          <w:tcPr>
            <w:tcW w:w="137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十五、商业服务业等支出</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47</w:t>
            </w:r>
          </w:p>
        </w:tc>
        <w:tc>
          <w:tcPr>
            <w:tcW w:w="155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82"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8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kern w:val="0"/>
                <w:sz w:val="22"/>
              </w:rPr>
            </w:pPr>
          </w:p>
        </w:tc>
        <w:tc>
          <w:tcPr>
            <w:tcW w:w="7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16</w:t>
            </w:r>
          </w:p>
        </w:tc>
        <w:tc>
          <w:tcPr>
            <w:tcW w:w="137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十六、金融支出</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48</w:t>
            </w:r>
          </w:p>
        </w:tc>
        <w:tc>
          <w:tcPr>
            <w:tcW w:w="155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82"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8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kern w:val="0"/>
                <w:sz w:val="22"/>
              </w:rPr>
            </w:pPr>
          </w:p>
        </w:tc>
        <w:tc>
          <w:tcPr>
            <w:tcW w:w="7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17</w:t>
            </w:r>
          </w:p>
        </w:tc>
        <w:tc>
          <w:tcPr>
            <w:tcW w:w="137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十七、援助其他地区支出</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49</w:t>
            </w:r>
          </w:p>
        </w:tc>
        <w:tc>
          <w:tcPr>
            <w:tcW w:w="155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82"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8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kern w:val="0"/>
                <w:sz w:val="22"/>
              </w:rPr>
            </w:pPr>
          </w:p>
        </w:tc>
        <w:tc>
          <w:tcPr>
            <w:tcW w:w="7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18</w:t>
            </w:r>
          </w:p>
        </w:tc>
        <w:tc>
          <w:tcPr>
            <w:tcW w:w="137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十八、自然资源海洋气象等支出</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50</w:t>
            </w:r>
          </w:p>
        </w:tc>
        <w:tc>
          <w:tcPr>
            <w:tcW w:w="155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82"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8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kern w:val="0"/>
                <w:sz w:val="22"/>
              </w:rPr>
            </w:pPr>
          </w:p>
        </w:tc>
        <w:tc>
          <w:tcPr>
            <w:tcW w:w="7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19</w:t>
            </w:r>
          </w:p>
        </w:tc>
        <w:tc>
          <w:tcPr>
            <w:tcW w:w="137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十九、住房保障支出</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51</w:t>
            </w:r>
          </w:p>
        </w:tc>
        <w:tc>
          <w:tcPr>
            <w:tcW w:w="155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31.08</w:t>
            </w:r>
          </w:p>
        </w:tc>
        <w:tc>
          <w:tcPr>
            <w:tcW w:w="138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31.08</w:t>
            </w:r>
          </w:p>
        </w:tc>
        <w:tc>
          <w:tcPr>
            <w:tcW w:w="138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kern w:val="0"/>
                <w:sz w:val="22"/>
              </w:rPr>
            </w:pPr>
          </w:p>
        </w:tc>
        <w:tc>
          <w:tcPr>
            <w:tcW w:w="7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20</w:t>
            </w:r>
          </w:p>
        </w:tc>
        <w:tc>
          <w:tcPr>
            <w:tcW w:w="137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二十、粮油物资储备支出</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52</w:t>
            </w:r>
          </w:p>
        </w:tc>
        <w:tc>
          <w:tcPr>
            <w:tcW w:w="155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82"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8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kern w:val="0"/>
                <w:sz w:val="22"/>
              </w:rPr>
            </w:pPr>
          </w:p>
        </w:tc>
        <w:tc>
          <w:tcPr>
            <w:tcW w:w="7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21</w:t>
            </w:r>
          </w:p>
        </w:tc>
        <w:tc>
          <w:tcPr>
            <w:tcW w:w="137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二十一、国有资本经营预算支出</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53</w:t>
            </w:r>
          </w:p>
        </w:tc>
        <w:tc>
          <w:tcPr>
            <w:tcW w:w="155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82"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8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kern w:val="0"/>
                <w:sz w:val="22"/>
              </w:rPr>
            </w:pPr>
          </w:p>
        </w:tc>
        <w:tc>
          <w:tcPr>
            <w:tcW w:w="7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22</w:t>
            </w:r>
          </w:p>
        </w:tc>
        <w:tc>
          <w:tcPr>
            <w:tcW w:w="137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二十二、灾害防治及应急管理支出</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54</w:t>
            </w:r>
          </w:p>
        </w:tc>
        <w:tc>
          <w:tcPr>
            <w:tcW w:w="155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82"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8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kern w:val="0"/>
                <w:sz w:val="22"/>
              </w:rPr>
            </w:pPr>
          </w:p>
        </w:tc>
        <w:tc>
          <w:tcPr>
            <w:tcW w:w="7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23</w:t>
            </w:r>
          </w:p>
        </w:tc>
        <w:tc>
          <w:tcPr>
            <w:tcW w:w="137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二十三、其他支出</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55</w:t>
            </w:r>
          </w:p>
        </w:tc>
        <w:tc>
          <w:tcPr>
            <w:tcW w:w="155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82"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8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p>
        </w:tc>
        <w:tc>
          <w:tcPr>
            <w:tcW w:w="7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24</w:t>
            </w:r>
          </w:p>
        </w:tc>
        <w:tc>
          <w:tcPr>
            <w:tcW w:w="137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二十四、债务还本支出</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56</w:t>
            </w:r>
          </w:p>
        </w:tc>
        <w:tc>
          <w:tcPr>
            <w:tcW w:w="155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82"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8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kern w:val="0"/>
                <w:sz w:val="22"/>
              </w:rPr>
            </w:pPr>
          </w:p>
        </w:tc>
        <w:tc>
          <w:tcPr>
            <w:tcW w:w="7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25</w:t>
            </w:r>
          </w:p>
        </w:tc>
        <w:tc>
          <w:tcPr>
            <w:tcW w:w="137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二十五、债务付息支出</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57</w:t>
            </w:r>
          </w:p>
        </w:tc>
        <w:tc>
          <w:tcPr>
            <w:tcW w:w="155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82"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8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kern w:val="0"/>
                <w:sz w:val="22"/>
              </w:rPr>
            </w:pPr>
          </w:p>
        </w:tc>
        <w:tc>
          <w:tcPr>
            <w:tcW w:w="7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26</w:t>
            </w:r>
          </w:p>
        </w:tc>
        <w:tc>
          <w:tcPr>
            <w:tcW w:w="137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二十六、抗疫特别国债安排的支出</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58</w:t>
            </w:r>
          </w:p>
        </w:tc>
        <w:tc>
          <w:tcPr>
            <w:tcW w:w="155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82"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8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b/>
                <w:i w:val="0"/>
                <w:color w:val="000000"/>
                <w:kern w:val="0"/>
                <w:sz w:val="22"/>
                <w:szCs w:val="22"/>
                <w:u w:val="none"/>
                <w:lang w:val="en-US" w:eastAsia="zh-CN" w:bidi="ar"/>
              </w:rPr>
              <w:t>本年收入合计</w:t>
            </w:r>
          </w:p>
        </w:tc>
        <w:tc>
          <w:tcPr>
            <w:tcW w:w="7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27</w:t>
            </w:r>
          </w:p>
        </w:tc>
        <w:tc>
          <w:tcPr>
            <w:tcW w:w="13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1,135.25</w:t>
            </w:r>
          </w:p>
        </w:tc>
        <w:tc>
          <w:tcPr>
            <w:tcW w:w="337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b/>
                <w:i w:val="0"/>
                <w:color w:val="000000"/>
                <w:kern w:val="0"/>
                <w:sz w:val="22"/>
                <w:szCs w:val="22"/>
                <w:u w:val="none"/>
                <w:lang w:val="en-US" w:eastAsia="zh-CN" w:bidi="ar"/>
              </w:rPr>
              <w:t>本年支出合计</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59</w:t>
            </w:r>
          </w:p>
        </w:tc>
        <w:tc>
          <w:tcPr>
            <w:tcW w:w="155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1,135.25</w:t>
            </w:r>
          </w:p>
        </w:tc>
        <w:tc>
          <w:tcPr>
            <w:tcW w:w="138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1,135.25</w:t>
            </w:r>
          </w:p>
        </w:tc>
        <w:tc>
          <w:tcPr>
            <w:tcW w:w="138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年初财政拨款结转和结余</w:t>
            </w:r>
          </w:p>
        </w:tc>
        <w:tc>
          <w:tcPr>
            <w:tcW w:w="7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28</w:t>
            </w:r>
          </w:p>
        </w:tc>
        <w:tc>
          <w:tcPr>
            <w:tcW w:w="13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年末财政拨款结转和结余</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60</w:t>
            </w:r>
          </w:p>
        </w:tc>
        <w:tc>
          <w:tcPr>
            <w:tcW w:w="155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p>
        </w:tc>
        <w:tc>
          <w:tcPr>
            <w:tcW w:w="138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p>
        </w:tc>
        <w:tc>
          <w:tcPr>
            <w:tcW w:w="138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 xml:space="preserve">  一般公共预算财政拨款</w:t>
            </w:r>
          </w:p>
        </w:tc>
        <w:tc>
          <w:tcPr>
            <w:tcW w:w="7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29</w:t>
            </w:r>
          </w:p>
        </w:tc>
        <w:tc>
          <w:tcPr>
            <w:tcW w:w="13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pPr>
              <w:jc w:val="left"/>
              <w:rPr>
                <w:rFonts w:ascii="宋体" w:hAnsi="宋体" w:eastAsia="宋体" w:cs="宋体"/>
                <w:kern w:val="0"/>
                <w:sz w:val="22"/>
              </w:rPr>
            </w:pP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61</w:t>
            </w:r>
          </w:p>
        </w:tc>
        <w:tc>
          <w:tcPr>
            <w:tcW w:w="155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8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8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56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b/>
                <w:bCs/>
                <w:kern w:val="0"/>
                <w:sz w:val="22"/>
              </w:rPr>
            </w:pPr>
            <w:r>
              <w:rPr>
                <w:rFonts w:hint="eastAsia" w:ascii="宋体" w:hAnsi="宋体" w:eastAsia="宋体" w:cs="宋体"/>
                <w:i w:val="0"/>
                <w:color w:val="000000"/>
                <w:kern w:val="0"/>
                <w:sz w:val="22"/>
                <w:szCs w:val="22"/>
                <w:u w:val="none"/>
                <w:lang w:val="en-US" w:eastAsia="zh-CN" w:bidi="ar"/>
              </w:rPr>
              <w:t xml:space="preserve">  政府性基金预算财政拨款</w:t>
            </w:r>
          </w:p>
        </w:tc>
        <w:tc>
          <w:tcPr>
            <w:tcW w:w="7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30</w:t>
            </w:r>
          </w:p>
        </w:tc>
        <w:tc>
          <w:tcPr>
            <w:tcW w:w="13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pPr>
              <w:jc w:val="left"/>
              <w:rPr>
                <w:rFonts w:ascii="宋体" w:hAnsi="宋体" w:eastAsia="宋体" w:cs="宋体"/>
                <w:b/>
                <w:bCs/>
                <w:kern w:val="0"/>
                <w:sz w:val="22"/>
              </w:rPr>
            </w:pP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62</w:t>
            </w:r>
          </w:p>
        </w:tc>
        <w:tc>
          <w:tcPr>
            <w:tcW w:w="155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8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8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56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b/>
                <w:bCs/>
                <w:kern w:val="0"/>
                <w:sz w:val="22"/>
              </w:rPr>
            </w:pPr>
          </w:p>
        </w:tc>
      </w:tr>
      <w:tr>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 xml:space="preserve">  国有资本经营预算财政拨款</w:t>
            </w:r>
          </w:p>
        </w:tc>
        <w:tc>
          <w:tcPr>
            <w:tcW w:w="7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31</w:t>
            </w:r>
          </w:p>
        </w:tc>
        <w:tc>
          <w:tcPr>
            <w:tcW w:w="13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pPr>
              <w:jc w:val="left"/>
              <w:rPr>
                <w:rFonts w:ascii="宋体" w:hAnsi="宋体" w:eastAsia="宋体" w:cs="宋体"/>
                <w:kern w:val="0"/>
                <w:sz w:val="22"/>
              </w:rPr>
            </w:pP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63</w:t>
            </w:r>
          </w:p>
        </w:tc>
        <w:tc>
          <w:tcPr>
            <w:tcW w:w="155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8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8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56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b/>
                <w:i w:val="0"/>
                <w:color w:val="000000"/>
                <w:kern w:val="0"/>
                <w:sz w:val="22"/>
                <w:szCs w:val="22"/>
                <w:u w:val="none"/>
                <w:lang w:val="en-US" w:eastAsia="zh-CN" w:bidi="ar"/>
              </w:rPr>
              <w:t>总计</w:t>
            </w:r>
          </w:p>
        </w:tc>
        <w:tc>
          <w:tcPr>
            <w:tcW w:w="79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32</w:t>
            </w:r>
          </w:p>
        </w:tc>
        <w:tc>
          <w:tcPr>
            <w:tcW w:w="13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1,135.25</w:t>
            </w:r>
          </w:p>
        </w:tc>
        <w:tc>
          <w:tcPr>
            <w:tcW w:w="337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b/>
                <w:i w:val="0"/>
                <w:color w:val="000000"/>
                <w:kern w:val="0"/>
                <w:sz w:val="22"/>
                <w:szCs w:val="22"/>
                <w:u w:val="none"/>
                <w:lang w:val="en-US" w:eastAsia="zh-CN" w:bidi="ar"/>
              </w:rPr>
              <w:t>总计</w:t>
            </w:r>
          </w:p>
        </w:tc>
        <w:tc>
          <w:tcPr>
            <w:tcW w:w="105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64</w:t>
            </w:r>
          </w:p>
        </w:tc>
        <w:tc>
          <w:tcPr>
            <w:tcW w:w="155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1,135.25</w:t>
            </w:r>
          </w:p>
        </w:tc>
        <w:tc>
          <w:tcPr>
            <w:tcW w:w="138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1,135.25</w:t>
            </w:r>
          </w:p>
        </w:tc>
        <w:tc>
          <w:tcPr>
            <w:tcW w:w="138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p>
        </w:tc>
        <w:tc>
          <w:tcPr>
            <w:tcW w:w="1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p>
        </w:tc>
      </w:tr>
      <w:tr>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公开05表</w:t>
      </w:r>
    </w:p>
    <w:p>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9"/>
        <w:tblW w:w="14219" w:type="dxa"/>
        <w:jc w:val="center"/>
        <w:tblLayout w:type="autofit"/>
        <w:tblCellMar>
          <w:top w:w="0" w:type="dxa"/>
          <w:left w:w="108" w:type="dxa"/>
          <w:bottom w:w="0" w:type="dxa"/>
          <w:right w:w="108" w:type="dxa"/>
        </w:tblCellMar>
      </w:tblPr>
      <w:tblGrid>
        <w:gridCol w:w="1200"/>
        <w:gridCol w:w="4043"/>
        <w:gridCol w:w="2484"/>
        <w:gridCol w:w="3492"/>
        <w:gridCol w:w="3000"/>
      </w:tblGrid>
      <w:tr>
        <w:tblPrEx>
          <w:tblCellMar>
            <w:top w:w="0" w:type="dxa"/>
            <w:left w:w="108" w:type="dxa"/>
            <w:bottom w:w="0" w:type="dxa"/>
            <w:right w:w="108" w:type="dxa"/>
          </w:tblCellMar>
        </w:tblPrEx>
        <w:trPr>
          <w:trHeight w:val="605" w:hRule="atLeast"/>
          <w:jc w:val="center"/>
        </w:trPr>
        <w:tc>
          <w:tcPr>
            <w:tcW w:w="5243"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8976"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4043"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484"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4043"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248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77"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4043"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248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630" w:hRule="atLeast"/>
          <w:jc w:val="center"/>
        </w:trPr>
        <w:tc>
          <w:tcPr>
            <w:tcW w:w="5243"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48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672" w:hRule="atLeast"/>
          <w:jc w:val="center"/>
        </w:trPr>
        <w:tc>
          <w:tcPr>
            <w:tcW w:w="5243"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48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bCs/>
                <w:i w:val="0"/>
                <w:iCs w:val="0"/>
                <w:color w:val="000000"/>
                <w:kern w:val="0"/>
                <w:sz w:val="22"/>
                <w:szCs w:val="22"/>
                <w:u w:val="none"/>
                <w:lang w:val="en-US" w:eastAsia="zh-CN" w:bidi="ar"/>
              </w:rPr>
              <w:t>1,135.25</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bCs/>
                <w:i w:val="0"/>
                <w:iCs w:val="0"/>
                <w:color w:val="000000"/>
                <w:kern w:val="0"/>
                <w:sz w:val="22"/>
                <w:szCs w:val="22"/>
                <w:u w:val="none"/>
                <w:lang w:val="en-US" w:eastAsia="zh-CN" w:bidi="ar"/>
              </w:rPr>
              <w:t>1,135.25</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b/>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75"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205</w:t>
            </w:r>
          </w:p>
        </w:tc>
        <w:tc>
          <w:tcPr>
            <w:tcW w:w="404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教育支出</w:t>
            </w:r>
          </w:p>
        </w:tc>
        <w:tc>
          <w:tcPr>
            <w:tcW w:w="248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10.00</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10.00</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20599</w:t>
            </w:r>
          </w:p>
        </w:tc>
        <w:tc>
          <w:tcPr>
            <w:tcW w:w="404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其他教育支出</w:t>
            </w:r>
          </w:p>
        </w:tc>
        <w:tc>
          <w:tcPr>
            <w:tcW w:w="248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10.00</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10.00</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2059999</w:t>
            </w:r>
          </w:p>
        </w:tc>
        <w:tc>
          <w:tcPr>
            <w:tcW w:w="404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其他教育支出</w:t>
            </w:r>
          </w:p>
        </w:tc>
        <w:tc>
          <w:tcPr>
            <w:tcW w:w="248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10.00</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10.00</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w:t>
            </w:r>
          </w:p>
        </w:tc>
        <w:tc>
          <w:tcPr>
            <w:tcW w:w="404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248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59.94</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59.94</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20805</w:t>
            </w:r>
          </w:p>
        </w:tc>
        <w:tc>
          <w:tcPr>
            <w:tcW w:w="404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248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54.95</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54.95</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87"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2080501</w:t>
            </w:r>
          </w:p>
        </w:tc>
        <w:tc>
          <w:tcPr>
            <w:tcW w:w="404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行政单位离退休</w:t>
            </w:r>
          </w:p>
        </w:tc>
        <w:tc>
          <w:tcPr>
            <w:tcW w:w="248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1.84</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1.84</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2080505</w:t>
            </w:r>
          </w:p>
        </w:tc>
        <w:tc>
          <w:tcPr>
            <w:tcW w:w="404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248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53.11</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53.11</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20899</w:t>
            </w:r>
          </w:p>
        </w:tc>
        <w:tc>
          <w:tcPr>
            <w:tcW w:w="404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248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5.00</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5.00</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2089999</w:t>
            </w:r>
          </w:p>
        </w:tc>
        <w:tc>
          <w:tcPr>
            <w:tcW w:w="404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其他社会保障和就业支出</w:t>
            </w:r>
          </w:p>
        </w:tc>
        <w:tc>
          <w:tcPr>
            <w:tcW w:w="248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5.00</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5.00</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w:t>
            </w:r>
          </w:p>
        </w:tc>
        <w:tc>
          <w:tcPr>
            <w:tcW w:w="404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卫生健康支出</w:t>
            </w:r>
          </w:p>
        </w:tc>
        <w:tc>
          <w:tcPr>
            <w:tcW w:w="248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1,034.23</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1,034.23</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21001</w:t>
            </w:r>
          </w:p>
        </w:tc>
        <w:tc>
          <w:tcPr>
            <w:tcW w:w="404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卫生健康管理事务</w:t>
            </w:r>
          </w:p>
        </w:tc>
        <w:tc>
          <w:tcPr>
            <w:tcW w:w="248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740.77</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740.77</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2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2100101</w:t>
            </w:r>
          </w:p>
        </w:tc>
        <w:tc>
          <w:tcPr>
            <w:tcW w:w="404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248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678.71</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678.71</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9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2100199</w:t>
            </w:r>
          </w:p>
        </w:tc>
        <w:tc>
          <w:tcPr>
            <w:tcW w:w="404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其他卫生健康管理事务支出</w:t>
            </w:r>
          </w:p>
        </w:tc>
        <w:tc>
          <w:tcPr>
            <w:tcW w:w="248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62.06</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62.06</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17"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21002</w:t>
            </w:r>
          </w:p>
        </w:tc>
        <w:tc>
          <w:tcPr>
            <w:tcW w:w="404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公立医院</w:t>
            </w:r>
          </w:p>
        </w:tc>
        <w:tc>
          <w:tcPr>
            <w:tcW w:w="248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5.23</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5.23</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2100201</w:t>
            </w:r>
          </w:p>
        </w:tc>
        <w:tc>
          <w:tcPr>
            <w:tcW w:w="404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综合医院</w:t>
            </w:r>
          </w:p>
        </w:tc>
        <w:tc>
          <w:tcPr>
            <w:tcW w:w="248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3.67</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3.67</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2100202</w:t>
            </w:r>
          </w:p>
        </w:tc>
        <w:tc>
          <w:tcPr>
            <w:tcW w:w="404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中医（民族）医院</w:t>
            </w:r>
          </w:p>
        </w:tc>
        <w:tc>
          <w:tcPr>
            <w:tcW w:w="248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1.56</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1.56</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21003</w:t>
            </w:r>
          </w:p>
        </w:tc>
        <w:tc>
          <w:tcPr>
            <w:tcW w:w="404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基层医疗卫生机构</w:t>
            </w:r>
          </w:p>
        </w:tc>
        <w:tc>
          <w:tcPr>
            <w:tcW w:w="248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103.24</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103.24</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2100302</w:t>
            </w:r>
          </w:p>
        </w:tc>
        <w:tc>
          <w:tcPr>
            <w:tcW w:w="404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乡镇卫生院</w:t>
            </w:r>
          </w:p>
        </w:tc>
        <w:tc>
          <w:tcPr>
            <w:tcW w:w="248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39.15</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39.15</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2100399</w:t>
            </w:r>
          </w:p>
        </w:tc>
        <w:tc>
          <w:tcPr>
            <w:tcW w:w="404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其他基层医疗卫生机构支出</w:t>
            </w:r>
          </w:p>
        </w:tc>
        <w:tc>
          <w:tcPr>
            <w:tcW w:w="248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64.09</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64.09</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6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21004</w:t>
            </w:r>
          </w:p>
        </w:tc>
        <w:tc>
          <w:tcPr>
            <w:tcW w:w="404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公共卫生</w:t>
            </w:r>
          </w:p>
        </w:tc>
        <w:tc>
          <w:tcPr>
            <w:tcW w:w="248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23.55</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23.55</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2100410</w:t>
            </w:r>
          </w:p>
        </w:tc>
        <w:tc>
          <w:tcPr>
            <w:tcW w:w="404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突发公共卫生事件应急处理</w:t>
            </w:r>
          </w:p>
        </w:tc>
        <w:tc>
          <w:tcPr>
            <w:tcW w:w="248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23.55</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23.55</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05"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21006</w:t>
            </w:r>
          </w:p>
        </w:tc>
        <w:tc>
          <w:tcPr>
            <w:tcW w:w="404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中医药</w:t>
            </w:r>
          </w:p>
        </w:tc>
        <w:tc>
          <w:tcPr>
            <w:tcW w:w="248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2.28</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2.28</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2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2100601</w:t>
            </w:r>
          </w:p>
        </w:tc>
        <w:tc>
          <w:tcPr>
            <w:tcW w:w="404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中医（民族医）药专项</w:t>
            </w:r>
          </w:p>
        </w:tc>
        <w:tc>
          <w:tcPr>
            <w:tcW w:w="248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2.28</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2.28</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21007</w:t>
            </w:r>
          </w:p>
        </w:tc>
        <w:tc>
          <w:tcPr>
            <w:tcW w:w="404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计划生育事务</w:t>
            </w:r>
          </w:p>
        </w:tc>
        <w:tc>
          <w:tcPr>
            <w:tcW w:w="248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61.15</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61.15</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05"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2100799</w:t>
            </w:r>
          </w:p>
        </w:tc>
        <w:tc>
          <w:tcPr>
            <w:tcW w:w="404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其他计划生育事务支出</w:t>
            </w:r>
          </w:p>
        </w:tc>
        <w:tc>
          <w:tcPr>
            <w:tcW w:w="248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61.15</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61.15</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21011</w:t>
            </w:r>
          </w:p>
        </w:tc>
        <w:tc>
          <w:tcPr>
            <w:tcW w:w="404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行政事业单位医疗</w:t>
            </w:r>
          </w:p>
        </w:tc>
        <w:tc>
          <w:tcPr>
            <w:tcW w:w="248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32.76</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32.76</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2101101</w:t>
            </w:r>
          </w:p>
        </w:tc>
        <w:tc>
          <w:tcPr>
            <w:tcW w:w="404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行政单位医疗</w:t>
            </w:r>
          </w:p>
        </w:tc>
        <w:tc>
          <w:tcPr>
            <w:tcW w:w="248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32.76</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32.76</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21016</w:t>
            </w:r>
          </w:p>
        </w:tc>
        <w:tc>
          <w:tcPr>
            <w:tcW w:w="404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老龄卫生健康事务</w:t>
            </w:r>
          </w:p>
        </w:tc>
        <w:tc>
          <w:tcPr>
            <w:tcW w:w="248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5.00</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5.00</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2101601</w:t>
            </w:r>
          </w:p>
        </w:tc>
        <w:tc>
          <w:tcPr>
            <w:tcW w:w="404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老龄卫生健康事务</w:t>
            </w:r>
          </w:p>
        </w:tc>
        <w:tc>
          <w:tcPr>
            <w:tcW w:w="248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5.00</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5.00</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9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21099</w:t>
            </w:r>
          </w:p>
        </w:tc>
        <w:tc>
          <w:tcPr>
            <w:tcW w:w="404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其他卫生健康支出</w:t>
            </w:r>
          </w:p>
        </w:tc>
        <w:tc>
          <w:tcPr>
            <w:tcW w:w="248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60.24</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60.24</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2109999</w:t>
            </w:r>
          </w:p>
        </w:tc>
        <w:tc>
          <w:tcPr>
            <w:tcW w:w="404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其他卫生健康支出</w:t>
            </w:r>
          </w:p>
        </w:tc>
        <w:tc>
          <w:tcPr>
            <w:tcW w:w="248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60.24</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60.24</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221</w:t>
            </w:r>
          </w:p>
        </w:tc>
        <w:tc>
          <w:tcPr>
            <w:tcW w:w="404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住房保障支出</w:t>
            </w:r>
          </w:p>
        </w:tc>
        <w:tc>
          <w:tcPr>
            <w:tcW w:w="248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31.08</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31.08</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22102</w:t>
            </w:r>
          </w:p>
        </w:tc>
        <w:tc>
          <w:tcPr>
            <w:tcW w:w="404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住房改革支出</w:t>
            </w:r>
          </w:p>
        </w:tc>
        <w:tc>
          <w:tcPr>
            <w:tcW w:w="248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31.08</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31.08</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2210201</w:t>
            </w:r>
          </w:p>
        </w:tc>
        <w:tc>
          <w:tcPr>
            <w:tcW w:w="404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248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31.08</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31.08</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pPr>
        <w:widowControl/>
        <w:jc w:val="left"/>
        <w:rPr>
          <w:rFonts w:ascii="Times New Roman" w:hAnsi="Times New Roman" w:eastAsia="仿宋_GB2312" w:cs="Times New Roman"/>
          <w:bCs/>
          <w:kern w:val="0"/>
          <w:szCs w:val="21"/>
        </w:rPr>
      </w:pP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9"/>
        <w:tblW w:w="15480" w:type="dxa"/>
        <w:tblInd w:w="0" w:type="dxa"/>
        <w:tblLayout w:type="fixed"/>
        <w:tblCellMar>
          <w:top w:w="0" w:type="dxa"/>
          <w:left w:w="108" w:type="dxa"/>
          <w:bottom w:w="0" w:type="dxa"/>
          <w:right w:w="108" w:type="dxa"/>
        </w:tblCellMar>
      </w:tblPr>
      <w:tblGrid>
        <w:gridCol w:w="750"/>
        <w:gridCol w:w="3405"/>
        <w:gridCol w:w="1155"/>
        <w:gridCol w:w="810"/>
        <w:gridCol w:w="2340"/>
        <w:gridCol w:w="1065"/>
        <w:gridCol w:w="780"/>
        <w:gridCol w:w="3720"/>
        <w:gridCol w:w="1455"/>
      </w:tblGrid>
      <w:tr>
        <w:tblPrEx>
          <w:tblCellMar>
            <w:top w:w="0" w:type="dxa"/>
            <w:left w:w="108" w:type="dxa"/>
            <w:bottom w:w="0" w:type="dxa"/>
            <w:right w:w="108" w:type="dxa"/>
          </w:tblCellMar>
        </w:tblPrEx>
        <w:trPr>
          <w:trHeight w:val="816" w:hRule="atLeast"/>
        </w:trPr>
        <w:tc>
          <w:tcPr>
            <w:tcW w:w="15480"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一般公共预算财政拨款基本支出决算表</w:t>
            </w:r>
            <w:bookmarkEnd w:id="2"/>
          </w:p>
          <w:p>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tblPrEx>
          <w:tblCellMar>
            <w:top w:w="0" w:type="dxa"/>
            <w:left w:w="108" w:type="dxa"/>
            <w:bottom w:w="0" w:type="dxa"/>
            <w:right w:w="108" w:type="dxa"/>
          </w:tblCellMar>
        </w:tblPrEx>
        <w:trPr>
          <w:trHeight w:val="1103" w:hRule="atLeast"/>
        </w:trPr>
        <w:tc>
          <w:tcPr>
            <w:tcW w:w="7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40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15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81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3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06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7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37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45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tblPrEx>
          <w:tblCellMar>
            <w:top w:w="0" w:type="dxa"/>
            <w:left w:w="108" w:type="dxa"/>
            <w:bottom w:w="0" w:type="dxa"/>
            <w:right w:w="108" w:type="dxa"/>
          </w:tblCellMar>
        </w:tblPrEx>
        <w:trPr>
          <w:trHeight w:val="284" w:hRule="exact"/>
        </w:trPr>
        <w:tc>
          <w:tcPr>
            <w:tcW w:w="7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115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518.97</w:t>
            </w:r>
          </w:p>
        </w:tc>
        <w:tc>
          <w:tcPr>
            <w:tcW w:w="8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3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10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469.02</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3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145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7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115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143.56</w:t>
            </w:r>
          </w:p>
        </w:tc>
        <w:tc>
          <w:tcPr>
            <w:tcW w:w="8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3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10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17.04</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3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145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7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115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104.90</w:t>
            </w:r>
          </w:p>
        </w:tc>
        <w:tc>
          <w:tcPr>
            <w:tcW w:w="8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3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10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24.63</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3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145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7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115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17.15</w:t>
            </w:r>
          </w:p>
        </w:tc>
        <w:tc>
          <w:tcPr>
            <w:tcW w:w="8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3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106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3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145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82.34</w:t>
            </w:r>
          </w:p>
        </w:tc>
      </w:tr>
      <w:tr>
        <w:tblPrEx>
          <w:tblCellMar>
            <w:top w:w="0" w:type="dxa"/>
            <w:left w:w="108" w:type="dxa"/>
            <w:bottom w:w="0" w:type="dxa"/>
            <w:right w:w="108" w:type="dxa"/>
          </w:tblCellMar>
        </w:tblPrEx>
        <w:trPr>
          <w:trHeight w:val="284" w:hRule="exact"/>
        </w:trPr>
        <w:tc>
          <w:tcPr>
            <w:tcW w:w="7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115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8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3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106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3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145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7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115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63.98</w:t>
            </w:r>
          </w:p>
        </w:tc>
        <w:tc>
          <w:tcPr>
            <w:tcW w:w="8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3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10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1.20</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3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145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13.66</w:t>
            </w:r>
          </w:p>
        </w:tc>
      </w:tr>
      <w:tr>
        <w:tblPrEx>
          <w:tblCellMar>
            <w:top w:w="0" w:type="dxa"/>
            <w:left w:w="108" w:type="dxa"/>
            <w:bottom w:w="0" w:type="dxa"/>
            <w:right w:w="108" w:type="dxa"/>
          </w:tblCellMar>
        </w:tblPrEx>
        <w:trPr>
          <w:trHeight w:val="284" w:hRule="exact"/>
        </w:trPr>
        <w:tc>
          <w:tcPr>
            <w:tcW w:w="7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115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58.12</w:t>
            </w:r>
          </w:p>
        </w:tc>
        <w:tc>
          <w:tcPr>
            <w:tcW w:w="8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3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10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8.69</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3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145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65.00</w:t>
            </w:r>
          </w:p>
        </w:tc>
      </w:tr>
      <w:tr>
        <w:tblPrEx>
          <w:tblCellMar>
            <w:top w:w="0" w:type="dxa"/>
            <w:left w:w="108" w:type="dxa"/>
            <w:bottom w:w="0" w:type="dxa"/>
            <w:right w:w="108" w:type="dxa"/>
          </w:tblCellMar>
        </w:tblPrEx>
        <w:trPr>
          <w:trHeight w:val="284" w:hRule="exact"/>
        </w:trPr>
        <w:tc>
          <w:tcPr>
            <w:tcW w:w="7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115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4.39</w:t>
            </w:r>
          </w:p>
        </w:tc>
        <w:tc>
          <w:tcPr>
            <w:tcW w:w="8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3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10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26.88</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3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145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7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115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34.91</w:t>
            </w:r>
          </w:p>
        </w:tc>
        <w:tc>
          <w:tcPr>
            <w:tcW w:w="8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3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106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3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145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7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115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11.46</w:t>
            </w:r>
          </w:p>
        </w:tc>
        <w:tc>
          <w:tcPr>
            <w:tcW w:w="8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3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10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6.04</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3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145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7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115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2.79</w:t>
            </w:r>
          </w:p>
        </w:tc>
        <w:tc>
          <w:tcPr>
            <w:tcW w:w="8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3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10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62.66</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3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145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7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115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73.16</w:t>
            </w:r>
          </w:p>
        </w:tc>
        <w:tc>
          <w:tcPr>
            <w:tcW w:w="8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3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106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3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145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7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115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8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3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10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20.83</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3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145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7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115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4.55</w:t>
            </w:r>
          </w:p>
        </w:tc>
        <w:tc>
          <w:tcPr>
            <w:tcW w:w="8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3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10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0.60</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3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145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7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115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64.92</w:t>
            </w:r>
          </w:p>
        </w:tc>
        <w:tc>
          <w:tcPr>
            <w:tcW w:w="8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3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10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0.15</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3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145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7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115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8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3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10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0.54</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3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145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7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115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8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3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10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0.96</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3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145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7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115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8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3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106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3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145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7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115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11.86</w:t>
            </w:r>
          </w:p>
        </w:tc>
        <w:tc>
          <w:tcPr>
            <w:tcW w:w="8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3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106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3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145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7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115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46.30</w:t>
            </w:r>
          </w:p>
        </w:tc>
        <w:tc>
          <w:tcPr>
            <w:tcW w:w="8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3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106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3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145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3.68</w:t>
            </w:r>
          </w:p>
        </w:tc>
      </w:tr>
      <w:tr>
        <w:tblPrEx>
          <w:tblCellMar>
            <w:top w:w="0" w:type="dxa"/>
            <w:left w:w="108" w:type="dxa"/>
            <w:bottom w:w="0" w:type="dxa"/>
            <w:right w:w="108" w:type="dxa"/>
          </w:tblCellMar>
        </w:tblPrEx>
        <w:trPr>
          <w:trHeight w:val="284" w:hRule="exact"/>
        </w:trPr>
        <w:tc>
          <w:tcPr>
            <w:tcW w:w="7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115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8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3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10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61.52</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3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145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7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115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8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3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106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39906</w:t>
            </w:r>
          </w:p>
        </w:tc>
        <w:tc>
          <w:tcPr>
            <w:tcW w:w="3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赠与</w:t>
            </w:r>
          </w:p>
        </w:tc>
        <w:tc>
          <w:tcPr>
            <w:tcW w:w="145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7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115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8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3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10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31.53</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3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145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7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115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8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3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10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81.96</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3720" w:type="dxa"/>
            <w:tcBorders>
              <w:top w:val="nil"/>
              <w:left w:val="nil"/>
              <w:bottom w:val="single" w:color="auto" w:sz="4" w:space="0"/>
              <w:right w:val="single" w:color="auto" w:sz="4" w:space="0"/>
            </w:tcBorders>
            <w:shd w:val="clear" w:color="auto" w:fill="auto"/>
            <w:noWrap/>
            <w:vAlign w:val="top"/>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w:t>
            </w:r>
            <w:r>
              <w:rPr>
                <w:rFonts w:hint="eastAsia" w:ascii="宋体" w:hAnsi="宋体" w:eastAsia="宋体" w:cs="宋体"/>
                <w:color w:val="000000"/>
                <w:kern w:val="0"/>
                <w:sz w:val="18"/>
                <w:szCs w:val="18"/>
              </w:rPr>
              <w:t>对民间非营利组织和群众性自治组织补贴</w:t>
            </w:r>
          </w:p>
        </w:tc>
        <w:tc>
          <w:tcPr>
            <w:tcW w:w="145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7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115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8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3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10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0.63</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3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145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7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115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8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3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10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38.33</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45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7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115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6.77</w:t>
            </w:r>
          </w:p>
        </w:tc>
        <w:tc>
          <w:tcPr>
            <w:tcW w:w="8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3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106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45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7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5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8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3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10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84.83</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45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415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115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583.89</w:t>
            </w:r>
          </w:p>
        </w:tc>
        <w:tc>
          <w:tcPr>
            <w:tcW w:w="8715" w:type="dxa"/>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145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18"/>
              </w:rPr>
            </w:pPr>
            <w:r>
              <w:rPr>
                <w:rFonts w:hint="eastAsia" w:ascii="宋体" w:hAnsi="宋体" w:eastAsia="宋体" w:cs="宋体"/>
                <w:i w:val="0"/>
                <w:iCs w:val="0"/>
                <w:color w:val="000000"/>
                <w:kern w:val="0"/>
                <w:sz w:val="22"/>
                <w:szCs w:val="22"/>
                <w:u w:val="none"/>
                <w:lang w:val="en-US" w:eastAsia="zh-CN" w:bidi="ar"/>
              </w:rPr>
              <w:t>551.36</w:t>
            </w:r>
          </w:p>
        </w:tc>
      </w:tr>
      <w:tr>
        <w:tblPrEx>
          <w:tblCellMar>
            <w:top w:w="0" w:type="dxa"/>
            <w:left w:w="108" w:type="dxa"/>
            <w:bottom w:w="0" w:type="dxa"/>
            <w:right w:w="108" w:type="dxa"/>
          </w:tblCellMar>
        </w:tblPrEx>
        <w:trPr>
          <w:trHeight w:val="284" w:hRule="exact"/>
        </w:trPr>
        <w:tc>
          <w:tcPr>
            <w:tcW w:w="15480" w:type="dxa"/>
            <w:gridSpan w:val="9"/>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p>
        </w:tc>
      </w:tr>
    </w:tbl>
    <w:p>
      <w:pPr>
        <w:widowControl/>
        <w:jc w:val="center"/>
        <w:rPr>
          <w:rFonts w:hint="eastAsia" w:ascii="Times New Roman" w:hAnsi="Times New Roman" w:eastAsia="方正小标宋_GBK" w:cs="Times New Roman"/>
          <w:color w:val="000000"/>
          <w:kern w:val="0"/>
          <w:sz w:val="36"/>
          <w:szCs w:val="36"/>
        </w:rPr>
      </w:pPr>
    </w:p>
    <w:p>
      <w:pPr>
        <w:widowControl/>
        <w:jc w:val="center"/>
        <w:rPr>
          <w:rFonts w:hint="eastAsia" w:ascii="Times New Roman" w:hAnsi="Times New Roman" w:eastAsia="方正小标宋_GBK" w:cs="Times New Roman"/>
          <w:color w:val="000000"/>
          <w:kern w:val="0"/>
          <w:sz w:val="36"/>
          <w:szCs w:val="36"/>
        </w:rPr>
      </w:pPr>
    </w:p>
    <w:p>
      <w:pPr>
        <w:widowControl/>
        <w:jc w:val="center"/>
        <w:rPr>
          <w:rFonts w:hint="eastAsia" w:ascii="Times New Roman" w:hAnsi="Times New Roman" w:eastAsia="方正小标宋_GBK" w:cs="Times New Roman"/>
          <w:color w:val="000000"/>
          <w:kern w:val="0"/>
          <w:sz w:val="36"/>
          <w:szCs w:val="36"/>
        </w:rPr>
      </w:pPr>
    </w:p>
    <w:p>
      <w:pPr>
        <w:widowControl/>
        <w:jc w:val="center"/>
        <w:rPr>
          <w:rFonts w:hint="eastAsia" w:ascii="Times New Roman" w:hAnsi="Times New Roman" w:eastAsia="方正小标宋_GBK" w:cs="Times New Roman"/>
          <w:color w:val="000000"/>
          <w:kern w:val="0"/>
          <w:sz w:val="36"/>
          <w:szCs w:val="36"/>
        </w:rPr>
      </w:pPr>
    </w:p>
    <w:p>
      <w:pPr>
        <w:widowControl/>
        <w:jc w:val="center"/>
        <w:rPr>
          <w:rFonts w:hint="eastAsia" w:ascii="Times New Roman" w:hAnsi="Times New Roman" w:eastAsia="方正小标宋_GBK" w:cs="Times New Roman"/>
          <w:color w:val="000000"/>
          <w:kern w:val="0"/>
          <w:sz w:val="36"/>
          <w:szCs w:val="36"/>
        </w:rPr>
      </w:pPr>
    </w:p>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w:t>
      </w: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表</w:t>
      </w:r>
    </w:p>
    <w:p>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9"/>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仿宋_GB2312" w:cs="Times New Roman"/>
                <w:kern w:val="0"/>
                <w:szCs w:val="21"/>
                <w:lang w:val="en-US" w:eastAsia="zh-CN"/>
              </w:rPr>
            </w:pPr>
            <w:r>
              <w:rPr>
                <w:rFonts w:hint="eastAsia" w:ascii="宋体" w:hAnsi="宋体" w:eastAsia="宋体" w:cs="宋体"/>
                <w:i w:val="0"/>
                <w:iCs w:val="0"/>
                <w:color w:val="000000"/>
                <w:kern w:val="0"/>
                <w:sz w:val="22"/>
                <w:szCs w:val="22"/>
                <w:u w:val="none"/>
                <w:lang w:val="en-US" w:eastAsia="zh-CN" w:bidi="ar"/>
              </w:rPr>
              <w:t>18.59</w:t>
            </w:r>
          </w:p>
        </w:tc>
        <w:tc>
          <w:tcPr>
            <w:tcW w:w="1220" w:type="dxa"/>
            <w:tcBorders>
              <w:top w:val="nil"/>
              <w:left w:val="nil"/>
              <w:bottom w:val="single" w:color="auto" w:sz="8" w:space="0"/>
              <w:right w:val="single" w:color="auto" w:sz="4" w:space="0"/>
            </w:tcBorders>
            <w:shd w:val="clear" w:color="auto" w:fill="auto"/>
            <w:vAlign w:val="center"/>
          </w:tcPr>
          <w:p>
            <w:pPr>
              <w:jc w:val="right"/>
              <w:rPr>
                <w:rFonts w:hint="eastAsia" w:ascii="Times New Roman" w:hAnsi="Times New Roman" w:eastAsia="仿宋_GB2312" w:cs="Times New Roman"/>
                <w:kern w:val="0"/>
                <w:szCs w:val="21"/>
                <w:lang w:val="en-US" w:eastAsia="zh-CN"/>
              </w:rPr>
            </w:pPr>
          </w:p>
        </w:tc>
        <w:tc>
          <w:tcPr>
            <w:tcW w:w="122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仿宋_GB2312" w:cs="Times New Roman"/>
                <w:kern w:val="0"/>
                <w:szCs w:val="21"/>
                <w:lang w:val="en-US" w:eastAsia="zh-CN"/>
              </w:rPr>
            </w:pPr>
            <w:r>
              <w:rPr>
                <w:rFonts w:hint="eastAsia" w:ascii="宋体" w:hAnsi="宋体" w:eastAsia="宋体" w:cs="宋体"/>
                <w:i w:val="0"/>
                <w:iCs w:val="0"/>
                <w:color w:val="000000"/>
                <w:kern w:val="0"/>
                <w:sz w:val="22"/>
                <w:szCs w:val="22"/>
                <w:u w:val="none"/>
                <w:lang w:val="en-US" w:eastAsia="zh-CN" w:bidi="ar"/>
              </w:rPr>
              <w:t>0.63</w:t>
            </w:r>
          </w:p>
        </w:tc>
        <w:tc>
          <w:tcPr>
            <w:tcW w:w="1220" w:type="dxa"/>
            <w:tcBorders>
              <w:top w:val="nil"/>
              <w:left w:val="nil"/>
              <w:bottom w:val="single" w:color="auto" w:sz="8" w:space="0"/>
              <w:right w:val="single" w:color="auto" w:sz="4" w:space="0"/>
            </w:tcBorders>
            <w:shd w:val="clear" w:color="auto" w:fill="auto"/>
            <w:vAlign w:val="center"/>
          </w:tcPr>
          <w:p>
            <w:pPr>
              <w:jc w:val="right"/>
              <w:rPr>
                <w:rFonts w:hint="eastAsia" w:ascii="Times New Roman" w:hAnsi="Times New Roman" w:eastAsia="仿宋_GB2312" w:cs="Times New Roman"/>
                <w:kern w:val="0"/>
                <w:szCs w:val="21"/>
                <w:lang w:val="en-US" w:eastAsia="zh-CN"/>
              </w:rPr>
            </w:pPr>
          </w:p>
        </w:tc>
        <w:tc>
          <w:tcPr>
            <w:tcW w:w="122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仿宋_GB2312" w:cs="Times New Roman"/>
                <w:kern w:val="0"/>
                <w:szCs w:val="21"/>
                <w:lang w:val="en-US" w:eastAsia="zh-CN"/>
              </w:rPr>
            </w:pPr>
            <w:r>
              <w:rPr>
                <w:rFonts w:hint="eastAsia" w:ascii="宋体" w:hAnsi="宋体" w:eastAsia="宋体" w:cs="宋体"/>
                <w:i w:val="0"/>
                <w:iCs w:val="0"/>
                <w:color w:val="000000"/>
                <w:kern w:val="0"/>
                <w:sz w:val="22"/>
                <w:szCs w:val="22"/>
                <w:u w:val="none"/>
                <w:lang w:val="en-US" w:eastAsia="zh-CN" w:bidi="ar"/>
              </w:rPr>
              <w:t>0.63</w:t>
            </w:r>
          </w:p>
        </w:tc>
        <w:tc>
          <w:tcPr>
            <w:tcW w:w="122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仿宋_GB2312" w:cs="Times New Roman"/>
                <w:kern w:val="0"/>
                <w:szCs w:val="21"/>
                <w:lang w:val="en-US" w:eastAsia="zh-CN"/>
              </w:rPr>
            </w:pPr>
            <w:r>
              <w:rPr>
                <w:rFonts w:hint="eastAsia" w:ascii="宋体" w:hAnsi="宋体" w:eastAsia="宋体" w:cs="宋体"/>
                <w:i w:val="0"/>
                <w:iCs w:val="0"/>
                <w:color w:val="000000"/>
                <w:kern w:val="0"/>
                <w:sz w:val="22"/>
                <w:szCs w:val="22"/>
                <w:u w:val="none"/>
                <w:lang w:val="en-US" w:eastAsia="zh-CN" w:bidi="ar"/>
              </w:rPr>
              <w:t>17.96</w:t>
            </w:r>
          </w:p>
        </w:tc>
        <w:tc>
          <w:tcPr>
            <w:tcW w:w="122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仿宋_GB2312" w:cs="Times New Roman"/>
                <w:kern w:val="0"/>
                <w:szCs w:val="21"/>
                <w:lang w:val="en-US" w:eastAsia="zh-CN"/>
              </w:rPr>
            </w:pPr>
            <w:r>
              <w:rPr>
                <w:rFonts w:hint="eastAsia" w:ascii="宋体" w:hAnsi="宋体" w:eastAsia="宋体" w:cs="宋体"/>
                <w:i w:val="0"/>
                <w:iCs w:val="0"/>
                <w:color w:val="000000"/>
                <w:kern w:val="0"/>
                <w:sz w:val="22"/>
                <w:szCs w:val="22"/>
                <w:u w:val="none"/>
                <w:lang w:val="en-US" w:eastAsia="zh-CN" w:bidi="ar"/>
              </w:rPr>
              <w:t>1.59</w:t>
            </w:r>
          </w:p>
        </w:tc>
        <w:tc>
          <w:tcPr>
            <w:tcW w:w="1220" w:type="dxa"/>
            <w:tcBorders>
              <w:top w:val="nil"/>
              <w:left w:val="nil"/>
              <w:bottom w:val="single" w:color="auto" w:sz="8" w:space="0"/>
              <w:right w:val="single" w:color="auto" w:sz="4" w:space="0"/>
            </w:tcBorders>
            <w:shd w:val="clear" w:color="auto" w:fill="auto"/>
            <w:vAlign w:val="center"/>
          </w:tcPr>
          <w:p>
            <w:pPr>
              <w:jc w:val="right"/>
              <w:rPr>
                <w:rFonts w:hint="eastAsia" w:ascii="Times New Roman" w:hAnsi="Times New Roman" w:eastAsia="仿宋_GB2312" w:cs="Times New Roman"/>
                <w:kern w:val="0"/>
                <w:szCs w:val="21"/>
                <w:lang w:val="en-US" w:eastAsia="zh-CN"/>
              </w:rPr>
            </w:pPr>
          </w:p>
        </w:tc>
        <w:tc>
          <w:tcPr>
            <w:tcW w:w="122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仿宋_GB2312" w:cs="Times New Roman"/>
                <w:kern w:val="0"/>
                <w:szCs w:val="21"/>
                <w:lang w:val="en-US" w:eastAsia="zh-CN"/>
              </w:rPr>
            </w:pPr>
            <w:r>
              <w:rPr>
                <w:rFonts w:hint="eastAsia" w:ascii="宋体" w:hAnsi="宋体" w:eastAsia="宋体" w:cs="宋体"/>
                <w:i w:val="0"/>
                <w:iCs w:val="0"/>
                <w:color w:val="000000"/>
                <w:kern w:val="0"/>
                <w:sz w:val="22"/>
                <w:szCs w:val="22"/>
                <w:u w:val="none"/>
                <w:lang w:val="en-US" w:eastAsia="zh-CN" w:bidi="ar"/>
              </w:rPr>
              <w:t>0.63</w:t>
            </w:r>
          </w:p>
        </w:tc>
        <w:tc>
          <w:tcPr>
            <w:tcW w:w="1220" w:type="dxa"/>
            <w:tcBorders>
              <w:top w:val="nil"/>
              <w:left w:val="nil"/>
              <w:bottom w:val="single" w:color="auto" w:sz="8" w:space="0"/>
              <w:right w:val="single" w:color="auto" w:sz="4" w:space="0"/>
            </w:tcBorders>
            <w:shd w:val="clear" w:color="auto" w:fill="auto"/>
            <w:vAlign w:val="center"/>
          </w:tcPr>
          <w:p>
            <w:pPr>
              <w:jc w:val="right"/>
              <w:rPr>
                <w:rFonts w:hint="eastAsia" w:ascii="Times New Roman" w:hAnsi="Times New Roman" w:eastAsia="仿宋_GB2312" w:cs="Times New Roman"/>
                <w:kern w:val="0"/>
                <w:szCs w:val="21"/>
                <w:lang w:val="en-US" w:eastAsia="zh-CN"/>
              </w:rPr>
            </w:pPr>
          </w:p>
        </w:tc>
        <w:tc>
          <w:tcPr>
            <w:tcW w:w="1220" w:type="dxa"/>
            <w:tcBorders>
              <w:top w:val="nil"/>
              <w:left w:val="nil"/>
              <w:bottom w:val="single" w:color="auto" w:sz="8" w:space="0"/>
              <w:right w:val="nil"/>
            </w:tcBorders>
            <w:shd w:val="clear" w:color="auto" w:fill="auto"/>
            <w:vAlign w:val="center"/>
          </w:tcPr>
          <w:p>
            <w:pPr>
              <w:keepNext w:val="0"/>
              <w:keepLines w:val="0"/>
              <w:widowControl/>
              <w:suppressLineNumbers w:val="0"/>
              <w:jc w:val="right"/>
              <w:textAlignment w:val="center"/>
              <w:rPr>
                <w:rFonts w:hint="default" w:ascii="Times New Roman" w:hAnsi="Times New Roman" w:eastAsia="仿宋_GB2312" w:cs="Times New Roman"/>
                <w:kern w:val="0"/>
                <w:szCs w:val="21"/>
                <w:lang w:val="en-US" w:eastAsia="zh-CN"/>
              </w:rPr>
            </w:pPr>
            <w:r>
              <w:rPr>
                <w:rFonts w:hint="eastAsia" w:ascii="宋体" w:hAnsi="宋体" w:eastAsia="宋体" w:cs="宋体"/>
                <w:i w:val="0"/>
                <w:iCs w:val="0"/>
                <w:color w:val="000000"/>
                <w:kern w:val="0"/>
                <w:sz w:val="22"/>
                <w:szCs w:val="22"/>
                <w:u w:val="none"/>
                <w:lang w:val="en-US" w:eastAsia="zh-CN" w:bidi="ar"/>
              </w:rPr>
              <w:t>0.63</w:t>
            </w:r>
          </w:p>
        </w:tc>
        <w:tc>
          <w:tcPr>
            <w:tcW w:w="1220" w:type="dxa"/>
            <w:tcBorders>
              <w:top w:val="nil"/>
              <w:left w:val="single" w:color="auto" w:sz="4" w:space="0"/>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仿宋_GB2312" w:cs="Times New Roman"/>
                <w:kern w:val="0"/>
                <w:szCs w:val="21"/>
                <w:lang w:val="en-US" w:eastAsia="zh-CN"/>
              </w:rPr>
            </w:pPr>
            <w:r>
              <w:rPr>
                <w:rFonts w:hint="eastAsia" w:ascii="宋体" w:hAnsi="宋体" w:eastAsia="宋体" w:cs="宋体"/>
                <w:i w:val="0"/>
                <w:iCs w:val="0"/>
                <w:color w:val="000000"/>
                <w:kern w:val="0"/>
                <w:sz w:val="22"/>
                <w:szCs w:val="22"/>
                <w:u w:val="none"/>
                <w:lang w:val="en-US" w:eastAsia="zh-CN" w:bidi="ar"/>
              </w:rPr>
              <w:t>0.96</w:t>
            </w:r>
          </w:p>
        </w:tc>
      </w:tr>
    </w:tbl>
    <w:p>
      <w:pPr>
        <w:widowControl/>
        <w:jc w:val="left"/>
        <w:rPr>
          <w:rFonts w:ascii="宋体" w:eastAsia="宋体" w:cs="宋体"/>
          <w:kern w:val="0"/>
          <w:sz w:val="24"/>
          <w:szCs w:val="24"/>
        </w:r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pPr>
        <w:autoSpaceDE w:val="0"/>
        <w:autoSpaceDN w:val="0"/>
        <w:adjustRightInd w:val="0"/>
        <w:ind w:left="315" w:leftChars="150"/>
        <w:jc w:val="left"/>
        <w:rPr>
          <w:rFonts w:ascii="宋体" w:eastAsia="宋体" w:cs="宋体"/>
          <w:kern w:val="0"/>
          <w:sz w:val="24"/>
          <w:szCs w:val="24"/>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pPr>
        <w:widowControl/>
        <w:wordWrap w:val="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                                                                                                                       公开08表</w:t>
      </w:r>
    </w:p>
    <w:p>
      <w:pPr>
        <w:widowControl/>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9"/>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6000" w:type="dxa"/>
            <w:gridSpan w:val="3"/>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13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基本支出  </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2000" w:type="dxa"/>
            <w:vMerge w:val="continue"/>
            <w:vAlign w:val="center"/>
          </w:tcPr>
          <w:p>
            <w:pPr>
              <w:widowControl/>
              <w:jc w:val="left"/>
              <w:rPr>
                <w:rFonts w:ascii="Times New Roman" w:hAnsi="Times New Roman" w:eastAsia="仿宋_GB2312" w:cs="Times New Roman"/>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000" w:type="dxa"/>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i w:val="0"/>
                <w:color w:val="000000"/>
                <w:kern w:val="0"/>
                <w:sz w:val="22"/>
                <w:szCs w:val="22"/>
                <w:u w:val="none"/>
                <w:lang w:val="en-US" w:eastAsia="zh-CN" w:bidi="ar"/>
              </w:rPr>
              <w:t>0.00</w:t>
            </w:r>
          </w:p>
        </w:tc>
        <w:tc>
          <w:tcPr>
            <w:tcW w:w="2000" w:type="dxa"/>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i w:val="0"/>
                <w:color w:val="000000"/>
                <w:kern w:val="0"/>
                <w:sz w:val="22"/>
                <w:szCs w:val="22"/>
                <w:u w:val="none"/>
                <w:lang w:val="en-US" w:eastAsia="zh-CN" w:bidi="ar"/>
              </w:rPr>
              <w:t>0.00</w:t>
            </w:r>
          </w:p>
        </w:tc>
        <w:tc>
          <w:tcPr>
            <w:tcW w:w="2000" w:type="dxa"/>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i w:val="0"/>
                <w:color w:val="000000"/>
                <w:kern w:val="0"/>
                <w:sz w:val="22"/>
                <w:szCs w:val="22"/>
                <w:u w:val="none"/>
                <w:lang w:val="en-US" w:eastAsia="zh-CN" w:bidi="ar"/>
              </w:rPr>
              <w:t>0.00</w:t>
            </w:r>
          </w:p>
        </w:tc>
        <w:tc>
          <w:tcPr>
            <w:tcW w:w="2000" w:type="dxa"/>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i w:val="0"/>
                <w:color w:val="000000"/>
                <w:kern w:val="0"/>
                <w:sz w:val="22"/>
                <w:szCs w:val="22"/>
                <w:u w:val="none"/>
                <w:lang w:val="en-US" w:eastAsia="zh-CN" w:bidi="ar"/>
              </w:rPr>
              <w:t>0.00</w:t>
            </w:r>
          </w:p>
        </w:tc>
        <w:tc>
          <w:tcPr>
            <w:tcW w:w="2000" w:type="dxa"/>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i w:val="0"/>
                <w:color w:val="000000"/>
                <w:kern w:val="0"/>
                <w:sz w:val="22"/>
                <w:szCs w:val="22"/>
                <w:u w:val="none"/>
                <w:lang w:val="en-US" w:eastAsia="zh-CN" w:bidi="ar"/>
              </w:rPr>
              <w:t>0.00</w:t>
            </w:r>
          </w:p>
        </w:tc>
        <w:tc>
          <w:tcPr>
            <w:tcW w:w="2000" w:type="dxa"/>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i w:val="0"/>
                <w:color w:val="000000"/>
                <w:kern w:val="0"/>
                <w:sz w:val="22"/>
                <w:szCs w:val="22"/>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p>
        </w:tc>
        <w:tc>
          <w:tcPr>
            <w:tcW w:w="1320" w:type="dxa"/>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p>
        </w:tc>
        <w:tc>
          <w:tcPr>
            <w:tcW w:w="2000" w:type="dxa"/>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c>
          <w:tcPr>
            <w:tcW w:w="2000" w:type="dxa"/>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c>
          <w:tcPr>
            <w:tcW w:w="2000" w:type="dxa"/>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c>
          <w:tcPr>
            <w:tcW w:w="2000" w:type="dxa"/>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c>
          <w:tcPr>
            <w:tcW w:w="2000" w:type="dxa"/>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c>
          <w:tcPr>
            <w:tcW w:w="2000" w:type="dxa"/>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p>
        </w:tc>
        <w:tc>
          <w:tcPr>
            <w:tcW w:w="1320" w:type="dxa"/>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p>
        </w:tc>
        <w:tc>
          <w:tcPr>
            <w:tcW w:w="2000" w:type="dxa"/>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c>
          <w:tcPr>
            <w:tcW w:w="2000" w:type="dxa"/>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c>
          <w:tcPr>
            <w:tcW w:w="2000" w:type="dxa"/>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c>
          <w:tcPr>
            <w:tcW w:w="2000" w:type="dxa"/>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c>
          <w:tcPr>
            <w:tcW w:w="2000" w:type="dxa"/>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c>
          <w:tcPr>
            <w:tcW w:w="2000" w:type="dxa"/>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p>
        </w:tc>
        <w:tc>
          <w:tcPr>
            <w:tcW w:w="1320" w:type="dxa"/>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p>
        </w:tc>
        <w:tc>
          <w:tcPr>
            <w:tcW w:w="2000" w:type="dxa"/>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c>
          <w:tcPr>
            <w:tcW w:w="2000" w:type="dxa"/>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c>
          <w:tcPr>
            <w:tcW w:w="2000" w:type="dxa"/>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c>
          <w:tcPr>
            <w:tcW w:w="2000" w:type="dxa"/>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c>
          <w:tcPr>
            <w:tcW w:w="2000" w:type="dxa"/>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c>
          <w:tcPr>
            <w:tcW w:w="2000" w:type="dxa"/>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bl>
    <w:p>
      <w:pPr>
        <w:widowControl/>
        <w:jc w:val="left"/>
        <w:rPr>
          <w:rFonts w:ascii="黑体" w:hAnsi="黑体" w:eastAsia="黑体"/>
          <w:szCs w:val="21"/>
        </w:rPr>
      </w:pPr>
      <w:r>
        <w:rPr>
          <w:rFonts w:ascii="Times New Roman" w:hAnsi="Times New Roman" w:eastAsia="仿宋_GB2312" w:cs="Times New Roman"/>
          <w:kern w:val="0"/>
          <w:szCs w:val="21"/>
        </w:rPr>
        <w:t>注：本表</w:t>
      </w:r>
      <w:r>
        <w:rPr>
          <w:rFonts w:hint="eastAsia" w:ascii="Times New Roman" w:hAnsi="Times New Roman" w:eastAsia="仿宋_GB2312" w:cs="Times New Roman"/>
          <w:kern w:val="0"/>
          <w:szCs w:val="21"/>
          <w:lang w:val="en-US" w:eastAsia="zh-CN"/>
        </w:rPr>
        <w:t>无数据。</w:t>
      </w:r>
      <w:r>
        <w:rPr>
          <w:rFonts w:ascii="黑体" w:hAnsi="黑体" w:eastAsia="黑体"/>
          <w:szCs w:val="21"/>
        </w:rPr>
        <w:br w:type="page"/>
      </w:r>
    </w:p>
    <w:tbl>
      <w:tblPr>
        <w:tblStyle w:val="9"/>
        <w:tblW w:w="14190" w:type="dxa"/>
        <w:tblInd w:w="93"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公开09表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项 </w:t>
            </w:r>
            <w:r>
              <w:rPr>
                <w:rFonts w:hint="eastAsia" w:ascii="宋体" w:hAnsi="宋体" w:eastAsia="宋体" w:cs="宋体"/>
                <w:color w:val="000000"/>
                <w:kern w:val="0"/>
                <w:sz w:val="22"/>
              </w:rPr>
              <w:t xml:space="preserve">   </w:t>
            </w:r>
            <w:r>
              <w:rPr>
                <w:rFonts w:hint="eastAsia" w:ascii="宋体" w:hAnsi="宋体" w:eastAsia="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r>
              <w:rPr>
                <w:rFonts w:hint="eastAsia" w:ascii="宋体" w:hAnsi="宋体" w:eastAsia="宋体" w:cs="宋体"/>
                <w:kern w:val="0"/>
                <w:sz w:val="24"/>
                <w:szCs w:val="24"/>
                <w:lang w:val="en-US" w:eastAsia="zh-CN"/>
              </w:rPr>
              <w:t>0</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w:t>
            </w:r>
            <w:r>
              <w:rPr>
                <w:rFonts w:hint="eastAsia" w:ascii="宋体" w:hAnsi="宋体" w:eastAsia="宋体" w:cs="宋体"/>
                <w:kern w:val="0"/>
                <w:sz w:val="24"/>
                <w:szCs w:val="24"/>
                <w:lang w:eastAsia="zh-CN"/>
              </w:rPr>
              <w:t>无数据</w:t>
            </w:r>
            <w:r>
              <w:rPr>
                <w:rFonts w:hint="eastAsia" w:ascii="宋体" w:hAnsi="宋体" w:eastAsia="宋体" w:cs="宋体"/>
                <w:kern w:val="0"/>
                <w:sz w:val="24"/>
                <w:szCs w:val="24"/>
              </w:rPr>
              <w:t>。</w:t>
            </w:r>
          </w:p>
        </w:tc>
      </w:tr>
    </w:tbl>
    <w:p>
      <w:pPr>
        <w:pStyle w:val="15"/>
        <w:rPr>
          <w:sz w:val="72"/>
          <w:szCs w:val="72"/>
        </w:rPr>
        <w:sectPr>
          <w:pgSz w:w="16838" w:h="11906" w:orient="landscape"/>
          <w:pgMar w:top="720" w:right="720" w:bottom="720" w:left="720" w:header="851" w:footer="992" w:gutter="0"/>
          <w:cols w:space="425" w:num="1"/>
          <w:docGrid w:type="lines" w:linePitch="312" w:charSpace="0"/>
        </w:sectPr>
      </w:pPr>
    </w:p>
    <w:p>
      <w:pPr>
        <w:pStyle w:val="15"/>
        <w:rPr>
          <w:sz w:val="72"/>
          <w:szCs w:val="72"/>
        </w:rPr>
      </w:pPr>
    </w:p>
    <w:p>
      <w:pPr>
        <w:pStyle w:val="15"/>
        <w:rPr>
          <w:sz w:val="72"/>
          <w:szCs w:val="72"/>
        </w:rPr>
      </w:pPr>
    </w:p>
    <w:p>
      <w:pPr>
        <w:pStyle w:val="15"/>
        <w:rPr>
          <w:sz w:val="72"/>
          <w:szCs w:val="72"/>
        </w:rPr>
      </w:pPr>
    </w:p>
    <w:p>
      <w:pPr>
        <w:pStyle w:val="15"/>
        <w:rPr>
          <w:sz w:val="72"/>
          <w:szCs w:val="72"/>
        </w:rPr>
      </w:pPr>
    </w:p>
    <w:p>
      <w:pPr>
        <w:pStyle w:val="15"/>
        <w:jc w:val="center"/>
        <w:rPr>
          <w:sz w:val="72"/>
          <w:szCs w:val="72"/>
        </w:rPr>
      </w:pPr>
    </w:p>
    <w:p>
      <w:pPr>
        <w:pStyle w:val="15"/>
        <w:jc w:val="center"/>
        <w:rPr>
          <w:sz w:val="72"/>
          <w:szCs w:val="72"/>
        </w:rPr>
      </w:pPr>
    </w:p>
    <w:p>
      <w:pPr>
        <w:pStyle w:val="15"/>
        <w:jc w:val="center"/>
        <w:rPr>
          <w:color w:val="auto"/>
          <w:sz w:val="72"/>
          <w:szCs w:val="72"/>
        </w:rPr>
      </w:pPr>
      <w:r>
        <w:rPr>
          <w:rFonts w:hint="eastAsia"/>
          <w:color w:val="auto"/>
          <w:sz w:val="72"/>
          <w:szCs w:val="72"/>
        </w:rPr>
        <w:t>第三部分</w:t>
      </w:r>
    </w:p>
    <w:p>
      <w:pPr>
        <w:pStyle w:val="15"/>
        <w:jc w:val="center"/>
        <w:rPr>
          <w:color w:val="auto"/>
          <w:sz w:val="70"/>
          <w:szCs w:val="70"/>
        </w:rPr>
      </w:pPr>
    </w:p>
    <w:p>
      <w:pPr>
        <w:pStyle w:val="15"/>
        <w:jc w:val="center"/>
        <w:rPr>
          <w:color w:val="auto"/>
          <w:sz w:val="70"/>
          <w:szCs w:val="70"/>
        </w:rPr>
      </w:pPr>
      <w:r>
        <w:rPr>
          <w:rFonts w:hint="eastAsia"/>
          <w:color w:val="auto"/>
          <w:sz w:val="70"/>
          <w:szCs w:val="70"/>
          <w:lang w:eastAsia="zh-CN"/>
        </w:rPr>
        <w:t>2021</w:t>
      </w:r>
      <w:r>
        <w:rPr>
          <w:rFonts w:hint="eastAsia"/>
          <w:color w:val="auto"/>
          <w:sz w:val="70"/>
          <w:szCs w:val="70"/>
        </w:rPr>
        <w:t>年度部门决算情况说明</w:t>
      </w:r>
    </w:p>
    <w:p>
      <w:pPr>
        <w:widowControl/>
        <w:jc w:val="left"/>
        <w:rPr>
          <w:rFonts w:ascii="黑体" w:eastAsia="黑体" w:cs="黑体"/>
          <w:color w:val="auto"/>
          <w:kern w:val="0"/>
          <w:sz w:val="70"/>
          <w:szCs w:val="70"/>
        </w:rPr>
      </w:pPr>
      <w:r>
        <w:rPr>
          <w:color w:val="auto"/>
          <w:sz w:val="70"/>
          <w:szCs w:val="70"/>
        </w:rPr>
        <w:br w:type="page"/>
      </w:r>
    </w:p>
    <w:p>
      <w:pPr>
        <w:pStyle w:val="15"/>
        <w:rPr>
          <w:rFonts w:asciiTheme="minorEastAsia" w:hAnsiTheme="minorEastAsia" w:eastAsiaTheme="minorEastAsia"/>
          <w:color w:val="auto"/>
          <w:sz w:val="32"/>
          <w:szCs w:val="32"/>
        </w:rPr>
      </w:pPr>
    </w:p>
    <w:p>
      <w:pPr>
        <w:pStyle w:val="12"/>
        <w:bidi w:val="0"/>
        <w:rPr>
          <w:color w:val="auto"/>
        </w:rPr>
      </w:pPr>
      <w:r>
        <w:rPr>
          <w:rFonts w:hint="eastAsia"/>
          <w:color w:val="auto"/>
        </w:rPr>
        <w:t>一、收入支出决算总体情况说明</w:t>
      </w:r>
    </w:p>
    <w:p>
      <w:pPr>
        <w:pStyle w:val="11"/>
        <w:bidi w:val="0"/>
        <w:rPr>
          <w:rFonts w:hint="default" w:asciiTheme="minorEastAsia" w:hAnsiTheme="minorEastAsia" w:eastAsiaTheme="minorEastAsia"/>
          <w:color w:val="auto"/>
          <w:sz w:val="32"/>
          <w:szCs w:val="32"/>
          <w:lang w:val="en-US"/>
        </w:rPr>
      </w:pPr>
      <w:r>
        <w:rPr>
          <w:rFonts w:hint="eastAsia"/>
          <w:color w:val="auto"/>
          <w:lang w:eastAsia="zh-CN"/>
        </w:rPr>
        <w:t>2021</w:t>
      </w:r>
      <w:r>
        <w:rPr>
          <w:rFonts w:hint="eastAsia"/>
          <w:color w:val="auto"/>
        </w:rPr>
        <w:t>年度收</w:t>
      </w:r>
      <w:r>
        <w:rPr>
          <w:rFonts w:hint="eastAsia"/>
          <w:color w:val="auto"/>
          <w:lang w:eastAsia="zh-CN"/>
        </w:rPr>
        <w:t>、</w:t>
      </w:r>
      <w:r>
        <w:rPr>
          <w:rFonts w:hint="eastAsia"/>
          <w:color w:val="auto"/>
          <w:lang w:val="en-US" w:eastAsia="zh-CN"/>
        </w:rPr>
        <w:t>支</w:t>
      </w:r>
      <w:r>
        <w:rPr>
          <w:rFonts w:hint="eastAsia"/>
          <w:color w:val="auto"/>
          <w:lang w:eastAsia="zh-CN"/>
        </w:rPr>
        <w:t>总计</w:t>
      </w:r>
      <w:r>
        <w:rPr>
          <w:rFonts w:hint="eastAsia"/>
          <w:color w:val="auto"/>
          <w:lang w:val="en-US" w:eastAsia="zh-CN"/>
        </w:rPr>
        <w:t>2185.46万元，</w:t>
      </w:r>
      <w:r>
        <w:rPr>
          <w:rFonts w:hint="eastAsia"/>
          <w:color w:val="auto"/>
        </w:rPr>
        <w:t>与上年相比，</w:t>
      </w:r>
      <w:r>
        <w:rPr>
          <w:rFonts w:hint="eastAsia"/>
          <w:color w:val="auto"/>
          <w:lang w:val="en-US" w:eastAsia="zh-CN"/>
        </w:rPr>
        <w:t>减少3289.6</w:t>
      </w:r>
      <w:r>
        <w:rPr>
          <w:rFonts w:hint="eastAsia"/>
          <w:color w:val="auto"/>
        </w:rPr>
        <w:t>万元，</w:t>
      </w:r>
      <w:r>
        <w:rPr>
          <w:rFonts w:hint="eastAsia"/>
          <w:color w:val="auto"/>
          <w:lang w:val="en-US" w:eastAsia="zh-CN"/>
        </w:rPr>
        <w:t>减少60.08</w:t>
      </w:r>
      <w:r>
        <w:rPr>
          <w:rFonts w:hint="eastAsia"/>
          <w:color w:val="auto"/>
        </w:rPr>
        <w:t>%</w:t>
      </w:r>
      <w:r>
        <w:rPr>
          <w:rFonts w:hint="eastAsia"/>
          <w:color w:val="auto"/>
          <w:lang w:eastAsia="zh-CN"/>
        </w:rPr>
        <w:t>。收</w:t>
      </w:r>
      <w:r>
        <w:rPr>
          <w:rFonts w:hint="eastAsia"/>
          <w:color w:val="auto"/>
          <w:lang w:val="en-US" w:eastAsia="zh-CN"/>
        </w:rPr>
        <w:t>支减少原因：2021年财政专项预算经费减少；支出减少原因：2020年全国爆发新冠疫情，疫情防控经费增加，所以2021年支出比上年减少。</w:t>
      </w:r>
      <w:bookmarkStart w:id="3" w:name="_GoBack"/>
      <w:bookmarkEnd w:id="3"/>
    </w:p>
    <w:p>
      <w:pPr>
        <w:pStyle w:val="12"/>
        <w:bidi w:val="0"/>
        <w:rPr>
          <w:color w:val="auto"/>
        </w:rPr>
      </w:pPr>
      <w:r>
        <w:rPr>
          <w:rFonts w:hint="eastAsia"/>
          <w:color w:val="auto"/>
        </w:rPr>
        <w:t>二、收入决算情况说明</w:t>
      </w:r>
    </w:p>
    <w:p>
      <w:pPr>
        <w:pStyle w:val="11"/>
        <w:bidi w:val="0"/>
        <w:ind w:firstLine="1120"/>
        <w:rPr>
          <w:rFonts w:hint="default" w:eastAsia="仿宋"/>
          <w:color w:val="auto"/>
          <w:lang w:val="en-US" w:eastAsia="zh-CN"/>
        </w:rPr>
      </w:pPr>
      <w:r>
        <w:rPr>
          <w:rFonts w:hint="eastAsia"/>
          <w:color w:val="auto"/>
        </w:rPr>
        <w:t>本年收入合计</w:t>
      </w:r>
      <w:r>
        <w:rPr>
          <w:rFonts w:hint="eastAsia"/>
          <w:color w:val="auto"/>
          <w:lang w:val="en-US" w:eastAsia="zh-CN"/>
        </w:rPr>
        <w:t>1135.25</w:t>
      </w:r>
      <w:r>
        <w:rPr>
          <w:rFonts w:hint="eastAsia"/>
          <w:color w:val="auto"/>
        </w:rPr>
        <w:t>万元，其中：财政拨款收入</w:t>
      </w:r>
      <w:r>
        <w:rPr>
          <w:rFonts w:hint="eastAsia"/>
          <w:color w:val="auto"/>
          <w:lang w:val="en-US" w:eastAsia="zh-CN"/>
        </w:rPr>
        <w:t>1135.25</w:t>
      </w:r>
      <w:r>
        <w:rPr>
          <w:rFonts w:hint="eastAsia"/>
          <w:color w:val="auto"/>
        </w:rPr>
        <w:t>万元，占</w:t>
      </w:r>
      <w:r>
        <w:rPr>
          <w:rFonts w:hint="eastAsia"/>
          <w:color w:val="auto"/>
          <w:lang w:val="en-US" w:eastAsia="zh-CN"/>
        </w:rPr>
        <w:t>100</w:t>
      </w:r>
      <w:r>
        <w:rPr>
          <w:rFonts w:hint="eastAsia"/>
          <w:color w:val="auto"/>
        </w:rPr>
        <w:t>%；其他收入</w:t>
      </w:r>
      <w:r>
        <w:rPr>
          <w:rFonts w:hint="eastAsia"/>
          <w:color w:val="auto"/>
          <w:lang w:val="en-US" w:eastAsia="zh-CN"/>
        </w:rPr>
        <w:t>0</w:t>
      </w:r>
      <w:r>
        <w:rPr>
          <w:rFonts w:hint="eastAsia"/>
          <w:color w:val="auto"/>
        </w:rPr>
        <w:t>万元，占</w:t>
      </w:r>
      <w:r>
        <w:rPr>
          <w:rFonts w:hint="eastAsia"/>
          <w:color w:val="auto"/>
          <w:lang w:val="en-US" w:eastAsia="zh-CN"/>
        </w:rPr>
        <w:t>0</w:t>
      </w:r>
      <w:r>
        <w:rPr>
          <w:rFonts w:hint="eastAsia"/>
          <w:color w:val="auto"/>
        </w:rPr>
        <w:t>%。</w:t>
      </w:r>
      <w:r>
        <w:rPr>
          <w:rFonts w:hint="eastAsia"/>
          <w:color w:val="auto"/>
          <w:lang w:eastAsia="zh-CN"/>
        </w:rPr>
        <w:t>收入</w:t>
      </w:r>
      <w:r>
        <w:rPr>
          <w:rFonts w:hint="eastAsia"/>
          <w:color w:val="auto"/>
          <w:lang w:val="en-US" w:eastAsia="zh-CN"/>
        </w:rPr>
        <w:t>减少</w:t>
      </w:r>
      <w:r>
        <w:rPr>
          <w:rFonts w:hint="eastAsia"/>
          <w:color w:val="auto"/>
          <w:lang w:eastAsia="zh-CN"/>
        </w:rPr>
        <w:t>的主要原因是</w:t>
      </w:r>
      <w:r>
        <w:rPr>
          <w:rFonts w:hint="eastAsia"/>
          <w:color w:val="auto"/>
          <w:lang w:val="en-US" w:eastAsia="zh-CN"/>
        </w:rPr>
        <w:t>2020年</w:t>
      </w:r>
      <w:r>
        <w:rPr>
          <w:rFonts w:hint="eastAsia"/>
          <w:color w:val="auto"/>
          <w:lang w:eastAsia="zh-CN"/>
        </w:rPr>
        <w:t>中央财政增加了新冠肺炎疫情防控经费的拨款，</w:t>
      </w:r>
      <w:r>
        <w:rPr>
          <w:rFonts w:hint="eastAsia"/>
          <w:color w:val="auto"/>
          <w:lang w:val="en-US" w:eastAsia="zh-CN"/>
        </w:rPr>
        <w:t>2021年财政专项预算经费减少</w:t>
      </w:r>
      <w:r>
        <w:rPr>
          <w:rFonts w:hint="eastAsia"/>
          <w:color w:val="auto"/>
          <w:lang w:eastAsia="zh-CN"/>
        </w:rPr>
        <w:t>。</w:t>
      </w:r>
    </w:p>
    <w:p>
      <w:pPr>
        <w:pStyle w:val="12"/>
        <w:bidi w:val="0"/>
        <w:rPr>
          <w:color w:val="auto"/>
        </w:rPr>
      </w:pPr>
      <w:r>
        <w:rPr>
          <w:rFonts w:hint="eastAsia"/>
          <w:color w:val="auto"/>
        </w:rPr>
        <w:t>三、支出决算情况说明</w:t>
      </w:r>
    </w:p>
    <w:p>
      <w:pPr>
        <w:pStyle w:val="11"/>
        <w:bidi w:val="0"/>
        <w:rPr>
          <w:rFonts w:hint="default" w:asciiTheme="minorEastAsia" w:hAnsiTheme="minorEastAsia" w:eastAsiaTheme="minorEastAsia"/>
          <w:color w:val="auto"/>
          <w:sz w:val="32"/>
          <w:szCs w:val="32"/>
          <w:lang w:val="en-US"/>
        </w:rPr>
      </w:pPr>
      <w:r>
        <w:rPr>
          <w:rFonts w:hint="eastAsia"/>
          <w:color w:val="auto"/>
        </w:rPr>
        <w:t>本年支出合计</w:t>
      </w:r>
      <w:r>
        <w:rPr>
          <w:rFonts w:hint="eastAsia"/>
          <w:color w:val="auto"/>
          <w:lang w:val="en-US" w:eastAsia="zh-CN"/>
        </w:rPr>
        <w:t>1623.29</w:t>
      </w:r>
      <w:r>
        <w:rPr>
          <w:rFonts w:hint="eastAsia"/>
          <w:color w:val="auto"/>
        </w:rPr>
        <w:t>万元，其中：基本支出</w:t>
      </w:r>
      <w:r>
        <w:rPr>
          <w:rFonts w:hint="eastAsia"/>
          <w:color w:val="auto"/>
          <w:lang w:val="en-US" w:eastAsia="zh-CN"/>
        </w:rPr>
        <w:t>1623.29</w:t>
      </w:r>
      <w:r>
        <w:rPr>
          <w:rFonts w:hint="eastAsia"/>
          <w:color w:val="auto"/>
        </w:rPr>
        <w:t>万元，占</w:t>
      </w:r>
      <w:r>
        <w:rPr>
          <w:rFonts w:hint="eastAsia"/>
          <w:color w:val="auto"/>
          <w:lang w:val="en-US" w:eastAsia="zh-CN"/>
        </w:rPr>
        <w:t>100</w:t>
      </w:r>
      <w:r>
        <w:rPr>
          <w:rFonts w:hint="eastAsia"/>
          <w:color w:val="auto"/>
        </w:rPr>
        <w:t>%。</w:t>
      </w:r>
      <w:r>
        <w:rPr>
          <w:rFonts w:hint="eastAsia"/>
          <w:color w:val="auto"/>
          <w:lang w:eastAsia="zh-CN"/>
        </w:rPr>
        <w:t>支出</w:t>
      </w:r>
      <w:r>
        <w:rPr>
          <w:rFonts w:hint="eastAsia"/>
          <w:color w:val="auto"/>
          <w:lang w:val="en-US" w:eastAsia="zh-CN"/>
        </w:rPr>
        <w:t>减少</w:t>
      </w:r>
      <w:r>
        <w:rPr>
          <w:rFonts w:hint="eastAsia"/>
          <w:color w:val="auto"/>
          <w:lang w:eastAsia="zh-CN"/>
        </w:rPr>
        <w:t>的主要原因</w:t>
      </w:r>
      <w:r>
        <w:rPr>
          <w:rFonts w:hint="eastAsia"/>
          <w:color w:val="auto"/>
          <w:lang w:val="en-US" w:eastAsia="zh-CN"/>
        </w:rPr>
        <w:t>2020年全国爆发新冠疫情，疫情防控经费增加，所以2021年支出比上年减少。</w:t>
      </w:r>
    </w:p>
    <w:p>
      <w:pPr>
        <w:pStyle w:val="11"/>
        <w:bidi w:val="0"/>
        <w:ind w:firstLine="1120"/>
        <w:rPr>
          <w:rFonts w:hint="eastAsia" w:eastAsia="仿宋" w:asciiTheme="minorEastAsia" w:hAnsiTheme="minorEastAsia"/>
          <w:color w:val="auto"/>
          <w:sz w:val="32"/>
          <w:szCs w:val="32"/>
          <w:lang w:eastAsia="zh-CN"/>
        </w:rPr>
      </w:pPr>
    </w:p>
    <w:p>
      <w:pPr>
        <w:pStyle w:val="12"/>
        <w:bidi w:val="0"/>
        <w:rPr>
          <w:color w:val="auto"/>
        </w:rPr>
      </w:pPr>
      <w:r>
        <w:rPr>
          <w:rFonts w:hint="eastAsia"/>
          <w:color w:val="auto"/>
        </w:rPr>
        <w:t>四、财政拨款收入支出决算总体情况说明</w:t>
      </w:r>
    </w:p>
    <w:p>
      <w:pPr>
        <w:pStyle w:val="11"/>
        <w:bidi w:val="0"/>
        <w:rPr>
          <w:rFonts w:hint="eastAsia"/>
          <w:color w:val="FF0000"/>
        </w:rPr>
      </w:pPr>
      <w:r>
        <w:rPr>
          <w:rFonts w:hint="eastAsia"/>
          <w:color w:val="auto"/>
          <w:lang w:eastAsia="zh-CN"/>
        </w:rPr>
        <w:t>2021</w:t>
      </w:r>
      <w:r>
        <w:rPr>
          <w:rFonts w:hint="eastAsia"/>
          <w:color w:val="auto"/>
        </w:rPr>
        <w:t>年度财政拨款收</w:t>
      </w:r>
      <w:r>
        <w:rPr>
          <w:rFonts w:hint="eastAsia"/>
          <w:color w:val="auto"/>
          <w:lang w:eastAsia="zh-CN"/>
        </w:rPr>
        <w:t>入总计</w:t>
      </w:r>
      <w:r>
        <w:rPr>
          <w:rFonts w:hint="eastAsia"/>
          <w:color w:val="auto"/>
          <w:lang w:val="en-US" w:eastAsia="zh-CN"/>
        </w:rPr>
        <w:t>1135.25万元，</w:t>
      </w:r>
      <w:r>
        <w:rPr>
          <w:rFonts w:hint="eastAsia"/>
          <w:color w:val="auto"/>
        </w:rPr>
        <w:t>与上年相比，</w:t>
      </w:r>
      <w:r>
        <w:rPr>
          <w:rFonts w:hint="eastAsia"/>
          <w:color w:val="auto"/>
          <w:lang w:val="en-US" w:eastAsia="zh-CN"/>
        </w:rPr>
        <w:t>减少2503.13</w:t>
      </w:r>
      <w:r>
        <w:rPr>
          <w:rFonts w:hint="eastAsia"/>
          <w:color w:val="auto"/>
        </w:rPr>
        <w:t>万元,</w:t>
      </w:r>
      <w:r>
        <w:rPr>
          <w:rFonts w:hint="eastAsia"/>
          <w:color w:val="auto"/>
          <w:lang w:val="en-US" w:eastAsia="zh-CN"/>
        </w:rPr>
        <w:t>减少68.80</w:t>
      </w:r>
      <w:r>
        <w:rPr>
          <w:rFonts w:hint="eastAsia"/>
          <w:color w:val="auto"/>
        </w:rPr>
        <w:t>%</w:t>
      </w:r>
      <w:r>
        <w:rPr>
          <w:rFonts w:hint="eastAsia"/>
          <w:color w:val="auto"/>
          <w:lang w:eastAsia="zh-CN"/>
        </w:rPr>
        <w:t>。</w:t>
      </w:r>
      <w:r>
        <w:rPr>
          <w:rFonts w:hint="eastAsia"/>
          <w:color w:val="auto"/>
        </w:rPr>
        <w:t>支</w:t>
      </w:r>
      <w:r>
        <w:rPr>
          <w:rFonts w:hint="eastAsia"/>
          <w:color w:val="auto"/>
          <w:lang w:eastAsia="zh-CN"/>
        </w:rPr>
        <w:t>出</w:t>
      </w:r>
      <w:r>
        <w:rPr>
          <w:rFonts w:hint="eastAsia"/>
          <w:color w:val="auto"/>
        </w:rPr>
        <w:t>总计</w:t>
      </w:r>
      <w:r>
        <w:rPr>
          <w:rFonts w:hint="eastAsia"/>
          <w:color w:val="auto"/>
          <w:lang w:val="en-US" w:eastAsia="zh-CN"/>
        </w:rPr>
        <w:t>1135.25</w:t>
      </w:r>
      <w:r>
        <w:rPr>
          <w:rFonts w:hint="eastAsia"/>
          <w:color w:val="auto"/>
        </w:rPr>
        <w:t>万元，与上年相比，</w:t>
      </w:r>
      <w:r>
        <w:rPr>
          <w:rFonts w:hint="eastAsia"/>
          <w:color w:val="auto"/>
          <w:lang w:val="en-US" w:eastAsia="zh-CN"/>
        </w:rPr>
        <w:t>减少2696.72</w:t>
      </w:r>
      <w:r>
        <w:rPr>
          <w:rFonts w:hint="eastAsia"/>
          <w:color w:val="auto"/>
        </w:rPr>
        <w:t>万元,</w:t>
      </w:r>
      <w:r>
        <w:rPr>
          <w:rFonts w:hint="eastAsia"/>
          <w:color w:val="auto"/>
          <w:lang w:val="en-US" w:eastAsia="zh-CN"/>
        </w:rPr>
        <w:t>减少70.37</w:t>
      </w:r>
      <w:r>
        <w:rPr>
          <w:rFonts w:hint="eastAsia"/>
          <w:color w:val="auto"/>
        </w:rPr>
        <w:t>%，</w:t>
      </w:r>
      <w:r>
        <w:rPr>
          <w:rFonts w:hint="eastAsia"/>
          <w:color w:val="auto"/>
          <w:lang w:val="en-US" w:eastAsia="zh-CN"/>
        </w:rPr>
        <w:t>原因：2020年</w:t>
      </w:r>
      <w:r>
        <w:rPr>
          <w:rFonts w:hint="eastAsia"/>
          <w:color w:val="auto"/>
          <w:lang w:eastAsia="zh-CN"/>
        </w:rPr>
        <w:t>中央财政增加了新冠肺炎疫情防控经费的拨款，</w:t>
      </w:r>
      <w:r>
        <w:rPr>
          <w:rFonts w:hint="eastAsia"/>
          <w:color w:val="auto"/>
          <w:lang w:val="en-US" w:eastAsia="zh-CN"/>
        </w:rPr>
        <w:t>2021年财政专项预算经费减少</w:t>
      </w:r>
      <w:r>
        <w:rPr>
          <w:rFonts w:hint="eastAsia"/>
          <w:color w:val="auto"/>
          <w:lang w:eastAsia="zh-CN"/>
        </w:rPr>
        <w:t>。</w:t>
      </w:r>
    </w:p>
    <w:p>
      <w:pPr>
        <w:pStyle w:val="12"/>
        <w:bidi w:val="0"/>
        <w:rPr>
          <w:color w:val="auto"/>
        </w:rPr>
      </w:pPr>
      <w:r>
        <w:rPr>
          <w:rFonts w:hint="eastAsia"/>
          <w:color w:val="auto"/>
        </w:rPr>
        <w:t>五、一般公共预算财政拨款支出决算情况说明</w:t>
      </w:r>
    </w:p>
    <w:p>
      <w:pPr>
        <w:pStyle w:val="12"/>
        <w:bidi w:val="0"/>
        <w:rPr>
          <w:color w:val="auto"/>
        </w:rPr>
      </w:pPr>
      <w:r>
        <w:rPr>
          <w:rFonts w:hint="eastAsia"/>
          <w:color w:val="auto"/>
        </w:rPr>
        <w:t>（一）财政拨款支出决算总体情况</w:t>
      </w:r>
    </w:p>
    <w:p>
      <w:pPr>
        <w:pStyle w:val="11"/>
        <w:bidi w:val="0"/>
        <w:rPr>
          <w:rFonts w:hint="eastAsia"/>
          <w:color w:val="auto"/>
          <w:lang w:val="en-US" w:eastAsia="zh-CN"/>
        </w:rPr>
      </w:pPr>
      <w:r>
        <w:rPr>
          <w:rFonts w:hint="eastAsia"/>
          <w:color w:val="auto"/>
          <w:lang w:val="en-US" w:eastAsia="zh-CN"/>
        </w:rPr>
        <w:t>2021年度财政拨款支出1135.25万元，占本年支出合计的69.94%，与上年相比，财政拨款支出减少2146.72万元，减少65.41%，</w:t>
      </w:r>
      <w:r>
        <w:rPr>
          <w:rFonts w:hint="eastAsia"/>
          <w:color w:val="auto"/>
        </w:rPr>
        <w:t>主要</w:t>
      </w:r>
      <w:r>
        <w:rPr>
          <w:rFonts w:hint="eastAsia"/>
          <w:color w:val="auto"/>
          <w:lang w:val="en-US" w:eastAsia="zh-CN"/>
        </w:rPr>
        <w:t>原因是2020年全国爆发新冠疫情，疫情防控经费增加，所以2021年支出比上年减少。</w:t>
      </w:r>
    </w:p>
    <w:p>
      <w:pPr>
        <w:pStyle w:val="12"/>
        <w:bidi w:val="0"/>
        <w:rPr>
          <w:color w:val="auto"/>
        </w:rPr>
      </w:pPr>
      <w:r>
        <w:rPr>
          <w:rFonts w:hint="eastAsia"/>
          <w:color w:val="auto"/>
        </w:rPr>
        <w:t>（二）财政拨款支出决算结构情况</w:t>
      </w:r>
    </w:p>
    <w:p>
      <w:pPr>
        <w:pStyle w:val="11"/>
        <w:bidi w:val="0"/>
        <w:ind w:firstLine="1120"/>
        <w:rPr>
          <w:rFonts w:hint="default" w:ascii="仿宋" w:hAnsi="仿宋" w:eastAsia="仿宋" w:cs="黑体"/>
          <w:color w:val="auto"/>
          <w:kern w:val="0"/>
          <w:sz w:val="32"/>
          <w:szCs w:val="22"/>
          <w:lang w:val="en-US" w:eastAsia="zh-CN" w:bidi="ar-SA"/>
        </w:rPr>
      </w:pPr>
      <w:r>
        <w:rPr>
          <w:rFonts w:hint="eastAsia" w:cs="黑体"/>
          <w:color w:val="auto"/>
          <w:kern w:val="0"/>
          <w:sz w:val="32"/>
          <w:szCs w:val="22"/>
          <w:lang w:val="en-US" w:eastAsia="zh-CN" w:bidi="ar-SA"/>
        </w:rPr>
        <w:t>2021</w:t>
      </w:r>
      <w:r>
        <w:rPr>
          <w:rFonts w:hint="eastAsia" w:ascii="仿宋" w:hAnsi="仿宋" w:eastAsia="仿宋" w:cs="黑体"/>
          <w:color w:val="auto"/>
          <w:kern w:val="0"/>
          <w:sz w:val="32"/>
          <w:szCs w:val="22"/>
          <w:lang w:val="en-US" w:eastAsia="zh-CN" w:bidi="ar-SA"/>
        </w:rPr>
        <w:t>年度财政拨款</w:t>
      </w:r>
      <w:r>
        <w:rPr>
          <w:rFonts w:hint="eastAsia"/>
          <w:color w:val="auto"/>
          <w:lang w:val="en-US" w:eastAsia="zh-CN"/>
        </w:rPr>
        <w:t>支出</w:t>
      </w:r>
      <w:r>
        <w:rPr>
          <w:rFonts w:hint="eastAsia" w:cs="黑体"/>
          <w:color w:val="auto"/>
          <w:kern w:val="0"/>
          <w:sz w:val="32"/>
          <w:szCs w:val="22"/>
          <w:lang w:val="en-US" w:eastAsia="zh-CN" w:bidi="ar-SA"/>
        </w:rPr>
        <w:t>1135.25</w:t>
      </w:r>
      <w:r>
        <w:rPr>
          <w:rFonts w:hint="eastAsia" w:ascii="仿宋" w:hAnsi="仿宋" w:eastAsia="仿宋" w:cs="黑体"/>
          <w:color w:val="auto"/>
          <w:kern w:val="0"/>
          <w:sz w:val="32"/>
          <w:szCs w:val="22"/>
          <w:lang w:val="en-US" w:eastAsia="zh-CN" w:bidi="ar-SA"/>
        </w:rPr>
        <w:t>万元，主要用于以下方面：</w:t>
      </w:r>
      <w:r>
        <w:rPr>
          <w:rFonts w:hint="eastAsia" w:cs="黑体"/>
          <w:color w:val="auto"/>
          <w:kern w:val="0"/>
          <w:sz w:val="32"/>
          <w:szCs w:val="22"/>
          <w:lang w:val="en-US" w:eastAsia="zh-CN" w:bidi="ar-SA"/>
        </w:rPr>
        <w:t>教育支出10万元，占0.88%；</w:t>
      </w:r>
      <w:r>
        <w:rPr>
          <w:rFonts w:hint="eastAsia" w:ascii="仿宋" w:hAnsi="仿宋" w:eastAsia="仿宋" w:cs="黑体"/>
          <w:color w:val="auto"/>
          <w:kern w:val="0"/>
          <w:sz w:val="32"/>
          <w:szCs w:val="22"/>
          <w:lang w:val="en-US" w:eastAsia="zh-CN" w:bidi="ar-SA"/>
        </w:rPr>
        <w:t>社会保障和就业支出</w:t>
      </w:r>
      <w:r>
        <w:rPr>
          <w:rFonts w:hint="eastAsia" w:cs="黑体"/>
          <w:color w:val="auto"/>
          <w:kern w:val="0"/>
          <w:sz w:val="32"/>
          <w:szCs w:val="22"/>
          <w:lang w:val="en-US" w:eastAsia="zh-CN" w:bidi="ar-SA"/>
        </w:rPr>
        <w:t>59.94</w:t>
      </w:r>
      <w:r>
        <w:rPr>
          <w:rFonts w:hint="eastAsia" w:ascii="仿宋" w:hAnsi="仿宋" w:eastAsia="仿宋" w:cs="黑体"/>
          <w:color w:val="auto"/>
          <w:kern w:val="0"/>
          <w:sz w:val="32"/>
          <w:szCs w:val="22"/>
          <w:lang w:val="en-US" w:eastAsia="zh-CN" w:bidi="ar-SA"/>
        </w:rPr>
        <w:t>万元，占</w:t>
      </w:r>
      <w:r>
        <w:rPr>
          <w:rFonts w:hint="eastAsia" w:cs="黑体"/>
          <w:color w:val="auto"/>
          <w:kern w:val="0"/>
          <w:sz w:val="32"/>
          <w:szCs w:val="22"/>
          <w:lang w:val="en-US" w:eastAsia="zh-CN" w:bidi="ar-SA"/>
        </w:rPr>
        <w:t>5.28</w:t>
      </w:r>
      <w:r>
        <w:rPr>
          <w:rFonts w:hint="eastAsia" w:ascii="仿宋" w:hAnsi="仿宋" w:eastAsia="仿宋" w:cs="黑体"/>
          <w:color w:val="auto"/>
          <w:kern w:val="0"/>
          <w:sz w:val="32"/>
          <w:szCs w:val="22"/>
          <w:lang w:val="en-US" w:eastAsia="zh-CN" w:bidi="ar-SA"/>
        </w:rPr>
        <w:t>%；卫生健康支出</w:t>
      </w:r>
      <w:r>
        <w:rPr>
          <w:rFonts w:hint="eastAsia" w:cs="黑体"/>
          <w:color w:val="auto"/>
          <w:kern w:val="0"/>
          <w:sz w:val="32"/>
          <w:szCs w:val="22"/>
          <w:lang w:val="en-US" w:eastAsia="zh-CN" w:bidi="ar-SA"/>
        </w:rPr>
        <w:t>1034.23</w:t>
      </w:r>
      <w:r>
        <w:rPr>
          <w:rFonts w:hint="eastAsia" w:ascii="仿宋" w:hAnsi="仿宋" w:eastAsia="仿宋" w:cs="黑体"/>
          <w:color w:val="auto"/>
          <w:kern w:val="0"/>
          <w:sz w:val="32"/>
          <w:szCs w:val="22"/>
          <w:lang w:val="en-US" w:eastAsia="zh-CN" w:bidi="ar-SA"/>
        </w:rPr>
        <w:t>万元，占</w:t>
      </w:r>
      <w:r>
        <w:rPr>
          <w:rFonts w:hint="eastAsia" w:cs="黑体"/>
          <w:color w:val="auto"/>
          <w:kern w:val="0"/>
          <w:sz w:val="32"/>
          <w:szCs w:val="22"/>
          <w:lang w:val="en-US" w:eastAsia="zh-CN" w:bidi="ar-SA"/>
        </w:rPr>
        <w:t>91.1</w:t>
      </w:r>
      <w:r>
        <w:rPr>
          <w:rFonts w:hint="eastAsia" w:ascii="仿宋" w:hAnsi="仿宋" w:eastAsia="仿宋" w:cs="黑体"/>
          <w:color w:val="auto"/>
          <w:kern w:val="0"/>
          <w:sz w:val="32"/>
          <w:szCs w:val="22"/>
          <w:lang w:val="en-US" w:eastAsia="zh-CN" w:bidi="ar-SA"/>
        </w:rPr>
        <w:t>%;住房保障支出</w:t>
      </w:r>
      <w:r>
        <w:rPr>
          <w:rFonts w:hint="eastAsia" w:cs="黑体"/>
          <w:color w:val="auto"/>
          <w:kern w:val="0"/>
          <w:sz w:val="32"/>
          <w:szCs w:val="22"/>
          <w:lang w:val="en-US" w:eastAsia="zh-CN" w:bidi="ar-SA"/>
        </w:rPr>
        <w:t>31.08</w:t>
      </w:r>
      <w:r>
        <w:rPr>
          <w:rFonts w:hint="eastAsia" w:ascii="仿宋" w:hAnsi="仿宋" w:eastAsia="仿宋" w:cs="黑体"/>
          <w:color w:val="auto"/>
          <w:kern w:val="0"/>
          <w:sz w:val="32"/>
          <w:szCs w:val="22"/>
          <w:lang w:val="en-US" w:eastAsia="zh-CN" w:bidi="ar-SA"/>
        </w:rPr>
        <w:t>万元，占</w:t>
      </w:r>
      <w:r>
        <w:rPr>
          <w:rFonts w:hint="eastAsia" w:cs="黑体"/>
          <w:color w:val="auto"/>
          <w:kern w:val="0"/>
          <w:sz w:val="32"/>
          <w:szCs w:val="22"/>
          <w:lang w:val="en-US" w:eastAsia="zh-CN" w:bidi="ar-SA"/>
        </w:rPr>
        <w:t>2.74</w:t>
      </w:r>
      <w:r>
        <w:rPr>
          <w:rFonts w:hint="eastAsia" w:ascii="仿宋" w:hAnsi="仿宋" w:eastAsia="仿宋" w:cs="黑体"/>
          <w:color w:val="auto"/>
          <w:kern w:val="0"/>
          <w:sz w:val="32"/>
          <w:szCs w:val="22"/>
          <w:lang w:val="en-US" w:eastAsia="zh-CN" w:bidi="ar-SA"/>
        </w:rPr>
        <w:t>%。</w:t>
      </w:r>
    </w:p>
    <w:p>
      <w:pPr>
        <w:pStyle w:val="12"/>
        <w:bidi w:val="0"/>
        <w:rPr>
          <w:color w:val="auto"/>
        </w:rPr>
      </w:pPr>
      <w:r>
        <w:rPr>
          <w:rFonts w:hint="eastAsia"/>
          <w:color w:val="auto"/>
        </w:rPr>
        <w:t>（三）财政拨款支出决算具体情况</w:t>
      </w:r>
    </w:p>
    <w:p>
      <w:pPr>
        <w:pStyle w:val="11"/>
        <w:bidi w:val="0"/>
        <w:ind w:firstLine="1120"/>
        <w:rPr>
          <w:rFonts w:hint="eastAsia"/>
          <w:color w:val="auto"/>
          <w:lang w:val="en-US" w:eastAsia="zh-CN"/>
        </w:rPr>
      </w:pPr>
      <w:r>
        <w:rPr>
          <w:rFonts w:hint="eastAsia"/>
          <w:color w:val="auto"/>
          <w:lang w:val="en-US" w:eastAsia="zh-CN"/>
        </w:rPr>
        <w:t>2021年度财政拨款支出年初预算数为1370万元，支出决算数为1135.25万元，完成年初预算的82.86%，其中：</w:t>
      </w:r>
    </w:p>
    <w:p>
      <w:pPr>
        <w:pStyle w:val="11"/>
        <w:bidi w:val="0"/>
        <w:ind w:firstLine="1120"/>
        <w:rPr>
          <w:rFonts w:hint="eastAsia"/>
          <w:color w:val="auto"/>
          <w:lang w:val="en-US" w:eastAsia="zh-CN"/>
        </w:rPr>
      </w:pPr>
      <w:r>
        <w:rPr>
          <w:rFonts w:hint="eastAsia"/>
          <w:color w:val="auto"/>
          <w:lang w:val="en-US" w:eastAsia="zh-CN"/>
        </w:rPr>
        <w:t>1、社会保障和就业支出。</w:t>
      </w:r>
    </w:p>
    <w:p>
      <w:pPr>
        <w:pStyle w:val="11"/>
        <w:bidi w:val="0"/>
        <w:ind w:firstLine="1120"/>
        <w:rPr>
          <w:rFonts w:hint="default"/>
          <w:color w:val="auto"/>
          <w:lang w:val="en-US" w:eastAsia="zh-CN"/>
        </w:rPr>
      </w:pPr>
      <w:r>
        <w:rPr>
          <w:rFonts w:hint="eastAsia"/>
          <w:color w:val="auto"/>
          <w:lang w:val="en-US" w:eastAsia="zh-CN"/>
        </w:rPr>
        <w:t>年初预算为86.28万元，支出决算为59.94万元，完成年初预算的69.47%，决算数小于年初预算数的主要原因是：财政要求按实际拨付经费核算。</w:t>
      </w:r>
    </w:p>
    <w:p>
      <w:pPr>
        <w:pStyle w:val="11"/>
        <w:bidi w:val="0"/>
        <w:ind w:firstLine="1120"/>
        <w:rPr>
          <w:rFonts w:hint="eastAsia" w:asciiTheme="minorEastAsia" w:hAnsiTheme="minorEastAsia" w:eastAsiaTheme="minorEastAsia"/>
          <w:color w:val="auto"/>
          <w:sz w:val="32"/>
          <w:szCs w:val="32"/>
          <w:lang w:eastAsia="zh-CN"/>
        </w:rPr>
      </w:pPr>
      <w:r>
        <w:rPr>
          <w:rFonts w:hint="eastAsia"/>
          <w:color w:val="auto"/>
          <w:lang w:val="en-US" w:eastAsia="zh-CN"/>
        </w:rPr>
        <w:t>其中行政单位离退休年初预算为11.26万元，支出决算为1.84万元，完成年初预算的16.34%；机关事业单位基本养老保险缴费支出年初预算为62.85万元，支出决算为53.11万元，完成年初预算的84.50%；其他社会保障和就业支出年初预算为12.18万元，支出决算为5万元，完成年初预算的41.05%；</w:t>
      </w:r>
    </w:p>
    <w:p>
      <w:pPr>
        <w:pStyle w:val="11"/>
        <w:bidi w:val="0"/>
        <w:ind w:firstLine="1120"/>
        <w:rPr>
          <w:rFonts w:hint="eastAsia"/>
          <w:color w:val="auto"/>
          <w:lang w:val="en-US" w:eastAsia="zh-CN"/>
        </w:rPr>
      </w:pPr>
      <w:r>
        <w:rPr>
          <w:rFonts w:hint="eastAsia"/>
          <w:color w:val="auto"/>
          <w:lang w:val="en-US" w:eastAsia="zh-CN"/>
        </w:rPr>
        <w:t>2、卫生健康支出。</w:t>
      </w:r>
    </w:p>
    <w:p>
      <w:pPr>
        <w:pStyle w:val="11"/>
        <w:bidi w:val="0"/>
        <w:ind w:firstLine="1120"/>
        <w:rPr>
          <w:rFonts w:hint="default"/>
          <w:color w:val="auto"/>
          <w:lang w:val="en-US" w:eastAsia="zh-CN"/>
        </w:rPr>
      </w:pPr>
      <w:r>
        <w:rPr>
          <w:rFonts w:hint="eastAsia"/>
          <w:color w:val="auto"/>
          <w:lang w:val="en-US" w:eastAsia="zh-CN"/>
        </w:rPr>
        <w:t>年初预算为1226.74万元，支出决算为1034.23万元，完成年初预算的84.31%，决算数小于年初预算数的主要原因是：财政要求按实际拨付经费核算。</w:t>
      </w:r>
    </w:p>
    <w:p>
      <w:pPr>
        <w:pStyle w:val="11"/>
        <w:bidi w:val="0"/>
        <w:rPr>
          <w:rFonts w:hint="eastAsia"/>
          <w:color w:val="FF0000"/>
          <w:lang w:val="en-US" w:eastAsia="zh-CN"/>
        </w:rPr>
      </w:pPr>
    </w:p>
    <w:p>
      <w:pPr>
        <w:pStyle w:val="11"/>
        <w:bidi w:val="0"/>
        <w:rPr>
          <w:rFonts w:hint="eastAsia" w:ascii="仿宋" w:hAnsi="仿宋" w:eastAsia="仿宋" w:cs="黑体"/>
          <w:color w:val="auto"/>
          <w:kern w:val="0"/>
          <w:sz w:val="32"/>
          <w:szCs w:val="22"/>
          <w:lang w:val="en-US" w:eastAsia="zh-CN" w:bidi="ar-SA"/>
        </w:rPr>
      </w:pPr>
      <w:r>
        <w:rPr>
          <w:rFonts w:hint="eastAsia"/>
          <w:color w:val="auto"/>
          <w:lang w:val="en-US" w:eastAsia="zh-CN"/>
        </w:rPr>
        <w:t>其中行政运行年初预算为669.25万元，支出决算为678.71万元，完成年初预算的101.41%；其他卫生健康管理事务支出决算为62.06万元；综合医院年初预算为45万元，支出决算为3.67万元，完成年初预算的8.16%；中医（民族）医院年初预算为140万元，支出决算为1.56万元，完成年初预算的1.11%；乡镇卫生院年初预算为111万元，支出决算为39.15万元，完成年初预算的35.27%；突发公共卫生事件应急处理支出决算为23.55万元；其他计划生育事务支出年初预算为20万元，支出决算为61.15万元，完成年初预算的305.75%；行政单位医疗年初预算为33.39万元，决算为32.76万元，完成年初预算的98.11%；老龄卫生健康事务年初预算为14万元，决算为5万元，完成年初预算的35.71%；其他卫生健康支出年初预算为80万元，支出决算为60.24万元，完成年初预算的75.3%。</w:t>
      </w:r>
    </w:p>
    <w:p>
      <w:pPr>
        <w:pStyle w:val="11"/>
        <w:numPr>
          <w:ilvl w:val="0"/>
          <w:numId w:val="2"/>
        </w:numPr>
        <w:bidi w:val="0"/>
        <w:rPr>
          <w:rFonts w:hint="eastAsia"/>
          <w:color w:val="auto"/>
          <w:lang w:val="en-US" w:eastAsia="zh-CN"/>
        </w:rPr>
      </w:pPr>
      <w:r>
        <w:rPr>
          <w:rFonts w:hint="eastAsia"/>
          <w:color w:val="auto"/>
          <w:lang w:val="en-US" w:eastAsia="zh-CN"/>
        </w:rPr>
        <w:t>住房保障支出。</w:t>
      </w:r>
    </w:p>
    <w:p>
      <w:pPr>
        <w:pStyle w:val="11"/>
        <w:bidi w:val="0"/>
        <w:ind w:firstLine="1120"/>
        <w:rPr>
          <w:rFonts w:hint="default"/>
          <w:color w:val="auto"/>
          <w:lang w:val="en-US" w:eastAsia="zh-CN"/>
        </w:rPr>
      </w:pPr>
      <w:r>
        <w:rPr>
          <w:rFonts w:hint="eastAsia" w:ascii="仿宋" w:hAnsi="仿宋" w:eastAsia="仿宋" w:cs="黑体"/>
          <w:color w:val="auto"/>
          <w:kern w:val="0"/>
          <w:sz w:val="32"/>
          <w:szCs w:val="22"/>
          <w:lang w:val="en-US" w:eastAsia="zh-CN" w:bidi="ar-SA"/>
        </w:rPr>
        <w:t>年初预算为</w:t>
      </w:r>
      <w:r>
        <w:rPr>
          <w:rFonts w:hint="eastAsia" w:cs="黑体"/>
          <w:color w:val="auto"/>
          <w:kern w:val="0"/>
          <w:sz w:val="32"/>
          <w:szCs w:val="22"/>
          <w:lang w:val="en-US" w:eastAsia="zh-CN" w:bidi="ar-SA"/>
        </w:rPr>
        <w:t>56.97</w:t>
      </w:r>
      <w:r>
        <w:rPr>
          <w:rFonts w:hint="eastAsia" w:ascii="仿宋" w:hAnsi="仿宋" w:eastAsia="仿宋" w:cs="黑体"/>
          <w:color w:val="auto"/>
          <w:kern w:val="0"/>
          <w:sz w:val="32"/>
          <w:szCs w:val="22"/>
          <w:lang w:val="en-US" w:eastAsia="zh-CN" w:bidi="ar-SA"/>
        </w:rPr>
        <w:t>万元，支出决算为</w:t>
      </w:r>
      <w:r>
        <w:rPr>
          <w:rFonts w:hint="eastAsia" w:cs="黑体"/>
          <w:color w:val="auto"/>
          <w:kern w:val="0"/>
          <w:sz w:val="32"/>
          <w:szCs w:val="22"/>
          <w:lang w:val="en-US" w:eastAsia="zh-CN" w:bidi="ar-SA"/>
        </w:rPr>
        <w:t>31.08</w:t>
      </w:r>
      <w:r>
        <w:rPr>
          <w:rFonts w:hint="eastAsia" w:ascii="仿宋" w:hAnsi="仿宋" w:eastAsia="仿宋" w:cs="黑体"/>
          <w:color w:val="auto"/>
          <w:kern w:val="0"/>
          <w:sz w:val="32"/>
          <w:szCs w:val="22"/>
          <w:lang w:val="en-US" w:eastAsia="zh-CN" w:bidi="ar-SA"/>
        </w:rPr>
        <w:t>万元，完成年初预算的</w:t>
      </w:r>
      <w:r>
        <w:rPr>
          <w:rFonts w:hint="eastAsia" w:cs="黑体"/>
          <w:color w:val="auto"/>
          <w:kern w:val="0"/>
          <w:sz w:val="32"/>
          <w:szCs w:val="22"/>
          <w:lang w:val="en-US" w:eastAsia="zh-CN" w:bidi="ar-SA"/>
        </w:rPr>
        <w:t>54.56</w:t>
      </w:r>
      <w:r>
        <w:rPr>
          <w:rFonts w:hint="eastAsia" w:ascii="仿宋" w:hAnsi="仿宋" w:eastAsia="仿宋" w:cs="黑体"/>
          <w:color w:val="auto"/>
          <w:kern w:val="0"/>
          <w:sz w:val="32"/>
          <w:szCs w:val="22"/>
          <w:lang w:val="en-US" w:eastAsia="zh-CN" w:bidi="ar-SA"/>
        </w:rPr>
        <w:t>%，决算数</w:t>
      </w:r>
      <w:r>
        <w:rPr>
          <w:rFonts w:hint="eastAsia" w:cs="黑体"/>
          <w:color w:val="auto"/>
          <w:kern w:val="0"/>
          <w:sz w:val="32"/>
          <w:szCs w:val="22"/>
          <w:lang w:val="en-US" w:eastAsia="zh-CN" w:bidi="ar-SA"/>
        </w:rPr>
        <w:t>小</w:t>
      </w:r>
      <w:r>
        <w:rPr>
          <w:rFonts w:hint="eastAsia" w:ascii="仿宋" w:hAnsi="仿宋" w:eastAsia="仿宋" w:cs="黑体"/>
          <w:color w:val="auto"/>
          <w:kern w:val="0"/>
          <w:sz w:val="32"/>
          <w:szCs w:val="22"/>
          <w:lang w:val="en-US" w:eastAsia="zh-CN" w:bidi="ar-SA"/>
        </w:rPr>
        <w:t>于年初预算数的主要原因是：</w:t>
      </w:r>
      <w:r>
        <w:rPr>
          <w:rFonts w:hint="eastAsia"/>
          <w:color w:val="auto"/>
          <w:lang w:val="en-US" w:eastAsia="zh-CN"/>
        </w:rPr>
        <w:t>财政要求按实际拨付经费核算。</w:t>
      </w:r>
    </w:p>
    <w:p>
      <w:pPr>
        <w:pStyle w:val="11"/>
        <w:bidi w:val="0"/>
        <w:rPr>
          <w:rFonts w:hint="eastAsia" w:asciiTheme="minorEastAsia" w:hAnsiTheme="minorEastAsia" w:eastAsiaTheme="minorEastAsia"/>
          <w:color w:val="FF0000"/>
          <w:sz w:val="32"/>
          <w:szCs w:val="32"/>
        </w:rPr>
      </w:pPr>
    </w:p>
    <w:p>
      <w:pPr>
        <w:pStyle w:val="11"/>
        <w:bidi w:val="0"/>
        <w:rPr>
          <w:rFonts w:hint="eastAsia" w:asciiTheme="minorEastAsia" w:hAnsiTheme="minorEastAsia" w:eastAsiaTheme="minorEastAsia"/>
          <w:i/>
          <w:color w:val="auto"/>
          <w:sz w:val="32"/>
          <w:szCs w:val="32"/>
        </w:rPr>
      </w:pPr>
      <w:r>
        <w:rPr>
          <w:rFonts w:hint="eastAsia"/>
          <w:color w:val="auto"/>
          <w:lang w:val="en-US" w:eastAsia="zh-CN"/>
        </w:rPr>
        <w:t>其中住房公积金年初预算为56.97万元，支出决算为31.08万元，完成年初预算的54.56%。</w:t>
      </w:r>
    </w:p>
    <w:p>
      <w:pPr>
        <w:pStyle w:val="12"/>
        <w:bidi w:val="0"/>
        <w:rPr>
          <w:color w:val="auto"/>
        </w:rPr>
      </w:pPr>
      <w:r>
        <w:rPr>
          <w:rFonts w:hint="eastAsia"/>
          <w:color w:val="auto"/>
        </w:rPr>
        <w:t>六、一般公共预算财政拨款基本支出决算情况说明</w:t>
      </w:r>
    </w:p>
    <w:p>
      <w:pPr>
        <w:pStyle w:val="11"/>
        <w:bidi w:val="0"/>
        <w:rPr>
          <w:rFonts w:hint="default" w:eastAsia="仿宋"/>
          <w:color w:val="auto"/>
          <w:lang w:val="en-US" w:eastAsia="zh-CN"/>
        </w:rPr>
      </w:pPr>
      <w:r>
        <w:rPr>
          <w:rFonts w:hint="eastAsia"/>
          <w:color w:val="auto"/>
          <w:lang w:eastAsia="zh-CN"/>
        </w:rPr>
        <w:t>2021</w:t>
      </w:r>
      <w:r>
        <w:rPr>
          <w:rFonts w:hint="eastAsia"/>
          <w:color w:val="auto"/>
        </w:rPr>
        <w:t>年度财政拨款基本支出</w:t>
      </w:r>
      <w:r>
        <w:rPr>
          <w:rFonts w:hint="eastAsia"/>
          <w:color w:val="auto"/>
          <w:lang w:val="en-US" w:eastAsia="zh-CN"/>
        </w:rPr>
        <w:t>1135.25</w:t>
      </w:r>
      <w:r>
        <w:rPr>
          <w:rFonts w:hint="eastAsia"/>
          <w:color w:val="auto"/>
        </w:rPr>
        <w:t>万元，其中：人员经费</w:t>
      </w:r>
      <w:r>
        <w:rPr>
          <w:rFonts w:hint="eastAsia"/>
          <w:color w:val="auto"/>
          <w:lang w:val="en-US" w:eastAsia="zh-CN"/>
        </w:rPr>
        <w:t>583.89</w:t>
      </w:r>
      <w:r>
        <w:rPr>
          <w:rFonts w:hint="eastAsia"/>
          <w:color w:val="auto"/>
        </w:rPr>
        <w:t>万元，占基本支出的</w:t>
      </w:r>
      <w:r>
        <w:rPr>
          <w:rFonts w:hint="eastAsia"/>
          <w:color w:val="auto"/>
          <w:lang w:val="en-US" w:eastAsia="zh-CN"/>
        </w:rPr>
        <w:t>51.43</w:t>
      </w:r>
      <w:r>
        <w:rPr>
          <w:rFonts w:hint="eastAsia"/>
          <w:color w:val="auto"/>
        </w:rPr>
        <w:t>%,主要包括基本工资、津贴补贴、奖金、</w:t>
      </w:r>
      <w:r>
        <w:rPr>
          <w:rFonts w:hint="eastAsia"/>
          <w:color w:val="auto"/>
          <w:lang w:eastAsia="zh-CN"/>
        </w:rPr>
        <w:t>绩效工资、机关事业单位基本养老保险缴费、职业年金缴费、职工基本医疗保险缴费、公务员医疗补助缴费、其他社会保障缴费、住房公积金、其他工资福利支出、</w:t>
      </w:r>
      <w:r>
        <w:rPr>
          <w:rFonts w:hint="eastAsia"/>
          <w:color w:val="auto"/>
          <w:lang w:val="en-US" w:eastAsia="zh-CN"/>
        </w:rPr>
        <w:t>抚恤金、</w:t>
      </w:r>
      <w:r>
        <w:rPr>
          <w:rFonts w:hint="eastAsia"/>
          <w:color w:val="auto"/>
          <w:lang w:eastAsia="zh-CN"/>
        </w:rPr>
        <w:t>生活补助、其他对个人和家庭的补助</w:t>
      </w:r>
      <w:r>
        <w:rPr>
          <w:rFonts w:hint="eastAsia"/>
          <w:color w:val="auto"/>
        </w:rPr>
        <w:t>；公用经费</w:t>
      </w:r>
      <w:r>
        <w:rPr>
          <w:rFonts w:hint="eastAsia"/>
          <w:color w:val="auto"/>
          <w:lang w:val="en-US" w:eastAsia="zh-CN"/>
        </w:rPr>
        <w:t>551.36</w:t>
      </w:r>
      <w:r>
        <w:rPr>
          <w:rFonts w:hint="eastAsia"/>
          <w:color w:val="auto"/>
        </w:rPr>
        <w:t>万元，占基本支出的</w:t>
      </w:r>
      <w:r>
        <w:rPr>
          <w:rFonts w:hint="eastAsia"/>
          <w:color w:val="auto"/>
          <w:lang w:val="en-US" w:eastAsia="zh-CN"/>
        </w:rPr>
        <w:t>48.57</w:t>
      </w:r>
      <w:r>
        <w:rPr>
          <w:rFonts w:hint="eastAsia"/>
          <w:color w:val="auto"/>
        </w:rPr>
        <w:t>%，主要包括办公费、印刷费、</w:t>
      </w:r>
      <w:r>
        <w:rPr>
          <w:rFonts w:hint="eastAsia"/>
          <w:color w:val="auto"/>
          <w:lang w:eastAsia="zh-CN"/>
        </w:rPr>
        <w:t>水费、电费、邮电费、物业管理费、差旅费、维修（护）费、租赁费、会议费、培训费、公务接待费、劳务费、工会经费、福利费、公务用车运行维护费、其他交通费用、其他商品和服务支出、</w:t>
      </w:r>
      <w:r>
        <w:rPr>
          <w:rFonts w:hint="eastAsia"/>
          <w:color w:val="auto"/>
          <w:lang w:val="en-US" w:eastAsia="zh-CN"/>
        </w:rPr>
        <w:t>办公设备购置、专用设备购置、其他资本性支出。</w:t>
      </w:r>
    </w:p>
    <w:p>
      <w:pPr>
        <w:pStyle w:val="15"/>
        <w:ind w:firstLine="640" w:firstLineChars="200"/>
        <w:rPr>
          <w:rFonts w:hint="eastAsia" w:asciiTheme="minorEastAsia" w:hAnsiTheme="minorEastAsia" w:eastAsiaTheme="minorEastAsia"/>
          <w:color w:val="auto"/>
          <w:sz w:val="32"/>
          <w:szCs w:val="32"/>
        </w:rPr>
      </w:pPr>
    </w:p>
    <w:p>
      <w:pPr>
        <w:pStyle w:val="12"/>
        <w:bidi w:val="0"/>
        <w:rPr>
          <w:color w:val="auto"/>
        </w:rPr>
      </w:pPr>
      <w:r>
        <w:rPr>
          <w:rFonts w:hint="eastAsia"/>
          <w:color w:val="auto"/>
        </w:rPr>
        <w:t>七、一般公共预算财政拨款三公经费支出决算情况说明</w:t>
      </w:r>
    </w:p>
    <w:p>
      <w:pPr>
        <w:pStyle w:val="12"/>
        <w:bidi w:val="0"/>
        <w:rPr>
          <w:color w:val="auto"/>
        </w:rPr>
      </w:pPr>
      <w:r>
        <w:rPr>
          <w:rFonts w:hint="eastAsia"/>
          <w:color w:val="auto"/>
        </w:rPr>
        <w:t>（一）“三公”经费财政拨款支出决算总体情况说明</w:t>
      </w:r>
    </w:p>
    <w:p>
      <w:pPr>
        <w:pStyle w:val="11"/>
        <w:bidi w:val="0"/>
        <w:ind w:firstLine="1120"/>
        <w:rPr>
          <w:color w:val="auto"/>
        </w:rPr>
      </w:pPr>
      <w:r>
        <w:rPr>
          <w:rFonts w:hint="eastAsia"/>
          <w:color w:val="auto"/>
        </w:rPr>
        <w:t>“三公”经费财政拨款支出预算为</w:t>
      </w:r>
      <w:r>
        <w:rPr>
          <w:rFonts w:hint="eastAsia"/>
          <w:color w:val="auto"/>
          <w:lang w:val="en-US" w:eastAsia="zh-CN"/>
        </w:rPr>
        <w:t>18.59</w:t>
      </w:r>
      <w:r>
        <w:rPr>
          <w:rFonts w:hint="eastAsia"/>
          <w:color w:val="auto"/>
        </w:rPr>
        <w:t>万元，支出决算为</w:t>
      </w:r>
      <w:r>
        <w:rPr>
          <w:rFonts w:hint="eastAsia"/>
          <w:color w:val="auto"/>
          <w:lang w:val="en-US" w:eastAsia="zh-CN"/>
        </w:rPr>
        <w:t>1.59</w:t>
      </w:r>
      <w:r>
        <w:rPr>
          <w:rFonts w:hint="eastAsia"/>
          <w:color w:val="auto"/>
        </w:rPr>
        <w:t>万元，完成预算的</w:t>
      </w:r>
      <w:r>
        <w:rPr>
          <w:rFonts w:hint="eastAsia"/>
          <w:color w:val="auto"/>
          <w:lang w:val="en-US" w:eastAsia="zh-CN"/>
        </w:rPr>
        <w:t>8.55</w:t>
      </w:r>
      <w:r>
        <w:rPr>
          <w:rFonts w:hint="eastAsia"/>
          <w:color w:val="auto"/>
        </w:rPr>
        <w:t>%，其中：</w:t>
      </w:r>
    </w:p>
    <w:p>
      <w:pPr>
        <w:pStyle w:val="11"/>
        <w:bidi w:val="0"/>
        <w:rPr>
          <w:rFonts w:hint="eastAsia"/>
          <w:color w:val="auto"/>
          <w:lang w:eastAsia="zh-CN"/>
        </w:rPr>
      </w:pPr>
      <w:r>
        <w:rPr>
          <w:rFonts w:hint="eastAsia"/>
          <w:color w:val="auto"/>
        </w:rPr>
        <w:t>因公出国（境）费支出预算为</w:t>
      </w:r>
      <w:r>
        <w:rPr>
          <w:rFonts w:hint="eastAsia"/>
          <w:color w:val="auto"/>
          <w:lang w:val="en-US" w:eastAsia="zh-CN"/>
        </w:rPr>
        <w:t>0</w:t>
      </w:r>
      <w:r>
        <w:rPr>
          <w:rFonts w:hint="eastAsia"/>
          <w:color w:val="auto"/>
        </w:rPr>
        <w:t>万元，支出决算为</w:t>
      </w:r>
      <w:r>
        <w:rPr>
          <w:rFonts w:hint="eastAsia"/>
          <w:color w:val="auto"/>
          <w:lang w:val="en-US" w:eastAsia="zh-CN"/>
        </w:rPr>
        <w:t>0</w:t>
      </w:r>
      <w:r>
        <w:rPr>
          <w:rFonts w:hint="eastAsia"/>
          <w:color w:val="auto"/>
        </w:rPr>
        <w:t>万元</w:t>
      </w:r>
      <w:r>
        <w:rPr>
          <w:rFonts w:hint="eastAsia"/>
          <w:color w:val="auto"/>
          <w:lang w:eastAsia="zh-CN"/>
        </w:rPr>
        <w:t>。</w:t>
      </w:r>
    </w:p>
    <w:p>
      <w:pPr>
        <w:pStyle w:val="11"/>
        <w:bidi w:val="0"/>
        <w:ind w:firstLine="1120"/>
        <w:rPr>
          <w:rFonts w:hint="eastAsia"/>
          <w:color w:val="auto"/>
          <w:lang w:val="en-US" w:eastAsia="zh-CN"/>
        </w:rPr>
      </w:pPr>
      <w:r>
        <w:rPr>
          <w:rFonts w:hint="eastAsia"/>
          <w:color w:val="auto"/>
          <w:lang w:val="en-US" w:eastAsia="zh-CN"/>
        </w:rPr>
        <w:t>公务接待费支出预算为17.96万元，支出决算为0.96万元，完成预算的5.35%。与上年相比减少0.02万元，减少2.04%,减少的主要原因是单位认真执行中央、省、市等 899 规定，严格执行接待标准，进一步从严控制三公经费支出，降低行政运行成本。</w:t>
      </w:r>
    </w:p>
    <w:p>
      <w:pPr>
        <w:pStyle w:val="11"/>
        <w:bidi w:val="0"/>
        <w:rPr>
          <w:rFonts w:hint="eastAsia"/>
          <w:color w:val="auto"/>
          <w:lang w:val="en-US" w:eastAsia="zh-CN"/>
        </w:rPr>
      </w:pPr>
      <w:r>
        <w:rPr>
          <w:rFonts w:hint="eastAsia"/>
          <w:color w:val="auto"/>
        </w:rPr>
        <w:t>公务用车购置费及运行维护费支出预算为</w:t>
      </w:r>
      <w:r>
        <w:rPr>
          <w:rFonts w:hint="eastAsia"/>
          <w:color w:val="auto"/>
          <w:lang w:val="en-US" w:eastAsia="zh-CN"/>
        </w:rPr>
        <w:t>0.63</w:t>
      </w:r>
      <w:r>
        <w:rPr>
          <w:rFonts w:hint="eastAsia"/>
          <w:color w:val="auto"/>
        </w:rPr>
        <w:t>万元，支出决算为</w:t>
      </w:r>
      <w:r>
        <w:rPr>
          <w:rFonts w:hint="eastAsia"/>
          <w:color w:val="auto"/>
          <w:lang w:val="en-US" w:eastAsia="zh-CN"/>
        </w:rPr>
        <w:t>0.63</w:t>
      </w:r>
      <w:r>
        <w:rPr>
          <w:rFonts w:hint="eastAsia"/>
          <w:color w:val="auto"/>
        </w:rPr>
        <w:t>万元，完成预算的</w:t>
      </w:r>
      <w:r>
        <w:rPr>
          <w:rFonts w:hint="eastAsia"/>
          <w:color w:val="auto"/>
          <w:lang w:val="en-US" w:eastAsia="zh-CN"/>
        </w:rPr>
        <w:t>100</w:t>
      </w:r>
      <w:r>
        <w:rPr>
          <w:rFonts w:hint="eastAsia"/>
          <w:color w:val="auto"/>
        </w:rPr>
        <w:t>%</w:t>
      </w:r>
      <w:r>
        <w:rPr>
          <w:rFonts w:hint="eastAsia"/>
          <w:color w:val="auto"/>
          <w:lang w:eastAsia="zh-CN"/>
        </w:rPr>
        <w:t>。</w:t>
      </w:r>
      <w:r>
        <w:rPr>
          <w:rFonts w:hint="eastAsia"/>
          <w:color w:val="auto"/>
        </w:rPr>
        <w:t>与上年相比减少</w:t>
      </w:r>
      <w:r>
        <w:rPr>
          <w:rFonts w:hint="eastAsia"/>
          <w:color w:val="auto"/>
          <w:lang w:val="en-US" w:eastAsia="zh-CN"/>
        </w:rPr>
        <w:t>3.53</w:t>
      </w:r>
      <w:r>
        <w:rPr>
          <w:rFonts w:hint="eastAsia"/>
          <w:color w:val="auto"/>
        </w:rPr>
        <w:t>万元，减少</w:t>
      </w:r>
      <w:r>
        <w:rPr>
          <w:rFonts w:hint="eastAsia"/>
          <w:color w:val="auto"/>
          <w:lang w:val="en-US" w:eastAsia="zh-CN"/>
        </w:rPr>
        <w:t>84.86</w:t>
      </w:r>
      <w:r>
        <w:rPr>
          <w:rFonts w:hint="eastAsia"/>
          <w:color w:val="auto"/>
        </w:rPr>
        <w:t>%,</w:t>
      </w:r>
      <w:r>
        <w:rPr>
          <w:rFonts w:hint="eastAsia"/>
          <w:color w:val="auto"/>
          <w:lang w:val="en-US" w:eastAsia="zh-CN"/>
        </w:rPr>
        <w:t xml:space="preserve"> 减少的主要原因是单位认真执行中央、省、市等 899 规定，严格执行，进一步从严控制三公经费支出，降低行政运行成本。</w:t>
      </w:r>
    </w:p>
    <w:p>
      <w:pPr>
        <w:pStyle w:val="12"/>
        <w:bidi w:val="0"/>
        <w:rPr>
          <w:color w:val="auto"/>
        </w:rPr>
      </w:pPr>
      <w:r>
        <w:rPr>
          <w:rFonts w:hint="eastAsia"/>
          <w:color w:val="auto"/>
        </w:rPr>
        <w:t>（二）“三公”经费财政拨款支出决算具体情况说明</w:t>
      </w:r>
    </w:p>
    <w:p>
      <w:pPr>
        <w:pStyle w:val="11"/>
        <w:bidi w:val="0"/>
        <w:rPr>
          <w:rFonts w:hint="eastAsia"/>
          <w:color w:val="auto"/>
        </w:rPr>
      </w:pPr>
      <w:r>
        <w:rPr>
          <w:rFonts w:hint="eastAsia"/>
          <w:color w:val="auto"/>
          <w:lang w:eastAsia="zh-CN"/>
        </w:rPr>
        <w:t>2021</w:t>
      </w:r>
      <w:r>
        <w:rPr>
          <w:rFonts w:hint="eastAsia"/>
          <w:color w:val="auto"/>
        </w:rPr>
        <w:t>年度“三公”经费财政拨款支出决算中，公务接待费支出决算</w:t>
      </w:r>
      <w:r>
        <w:rPr>
          <w:rFonts w:hint="eastAsia"/>
          <w:color w:val="auto"/>
          <w:lang w:val="en-US" w:eastAsia="zh-CN"/>
        </w:rPr>
        <w:t>0.96</w:t>
      </w:r>
      <w:r>
        <w:rPr>
          <w:rFonts w:hint="eastAsia"/>
          <w:color w:val="auto"/>
        </w:rPr>
        <w:t>万元，占</w:t>
      </w:r>
      <w:r>
        <w:rPr>
          <w:rFonts w:hint="eastAsia"/>
          <w:color w:val="auto"/>
          <w:lang w:val="en-US" w:eastAsia="zh-CN"/>
        </w:rPr>
        <w:t>60.38</w:t>
      </w:r>
      <w:r>
        <w:rPr>
          <w:rFonts w:hint="eastAsia"/>
          <w:color w:val="auto"/>
        </w:rPr>
        <w:t>%,因公出国（境）费支出决算</w:t>
      </w:r>
      <w:r>
        <w:rPr>
          <w:rFonts w:hint="eastAsia"/>
          <w:color w:val="auto"/>
          <w:lang w:val="en-US" w:eastAsia="zh-CN"/>
        </w:rPr>
        <w:t>0</w:t>
      </w:r>
      <w:r>
        <w:rPr>
          <w:rFonts w:hint="eastAsia"/>
          <w:color w:val="auto"/>
        </w:rPr>
        <w:t>万元，占</w:t>
      </w:r>
      <w:r>
        <w:rPr>
          <w:rFonts w:hint="eastAsia"/>
          <w:color w:val="auto"/>
          <w:lang w:val="en-US" w:eastAsia="zh-CN"/>
        </w:rPr>
        <w:t>0</w:t>
      </w:r>
      <w:r>
        <w:rPr>
          <w:rFonts w:hint="eastAsia"/>
          <w:color w:val="auto"/>
        </w:rPr>
        <w:t>%,公务用车购置费及运行维护费支出决算</w:t>
      </w:r>
      <w:r>
        <w:rPr>
          <w:rFonts w:hint="eastAsia"/>
          <w:color w:val="auto"/>
          <w:lang w:val="en-US" w:eastAsia="zh-CN"/>
        </w:rPr>
        <w:t>0.63</w:t>
      </w:r>
      <w:r>
        <w:rPr>
          <w:rFonts w:hint="eastAsia"/>
          <w:color w:val="auto"/>
        </w:rPr>
        <w:t>万元，占</w:t>
      </w:r>
      <w:r>
        <w:rPr>
          <w:rFonts w:hint="eastAsia"/>
          <w:color w:val="auto"/>
          <w:lang w:val="en-US" w:eastAsia="zh-CN"/>
        </w:rPr>
        <w:t>39.62</w:t>
      </w:r>
      <w:r>
        <w:rPr>
          <w:rFonts w:hint="eastAsia"/>
          <w:color w:val="auto"/>
        </w:rPr>
        <w:t>%。其中：</w:t>
      </w:r>
    </w:p>
    <w:p>
      <w:pPr>
        <w:pStyle w:val="11"/>
        <w:bidi w:val="0"/>
        <w:rPr>
          <w:rFonts w:hint="eastAsia"/>
          <w:color w:val="auto"/>
          <w:lang w:val="en-US" w:eastAsia="zh-CN"/>
        </w:rPr>
      </w:pPr>
      <w:r>
        <w:rPr>
          <w:rFonts w:hint="eastAsia"/>
          <w:color w:val="auto"/>
        </w:rPr>
        <w:t>1、因公出国（境）费支出决算为</w:t>
      </w:r>
      <w:r>
        <w:rPr>
          <w:rFonts w:hint="eastAsia"/>
          <w:color w:val="auto"/>
          <w:lang w:val="en-US" w:eastAsia="zh-CN"/>
        </w:rPr>
        <w:t>0</w:t>
      </w:r>
      <w:r>
        <w:rPr>
          <w:rFonts w:hint="eastAsia"/>
          <w:color w:val="auto"/>
        </w:rPr>
        <w:t>万元</w:t>
      </w:r>
      <w:r>
        <w:rPr>
          <w:rFonts w:hint="eastAsia"/>
          <w:color w:val="auto"/>
          <w:lang w:eastAsia="zh-CN"/>
        </w:rPr>
        <w:t>。</w:t>
      </w:r>
    </w:p>
    <w:p>
      <w:pPr>
        <w:pStyle w:val="11"/>
        <w:bidi w:val="0"/>
        <w:rPr>
          <w:color w:val="auto"/>
        </w:rPr>
      </w:pPr>
      <w:r>
        <w:rPr>
          <w:rFonts w:hint="eastAsia"/>
          <w:color w:val="auto"/>
        </w:rPr>
        <w:t>2、公务接待费支出决算为</w:t>
      </w:r>
      <w:r>
        <w:rPr>
          <w:rFonts w:hint="eastAsia"/>
          <w:color w:val="auto"/>
          <w:lang w:val="en-US" w:eastAsia="zh-CN"/>
        </w:rPr>
        <w:t>0.96</w:t>
      </w:r>
      <w:r>
        <w:rPr>
          <w:rFonts w:hint="eastAsia"/>
          <w:color w:val="auto"/>
        </w:rPr>
        <w:t>万元，全年共</w:t>
      </w:r>
      <w:r>
        <w:rPr>
          <w:rFonts w:hint="eastAsia"/>
          <w:color w:val="auto"/>
          <w:lang w:eastAsia="zh-CN"/>
        </w:rPr>
        <w:t>公务</w:t>
      </w:r>
      <w:r>
        <w:rPr>
          <w:rFonts w:hint="eastAsia"/>
          <w:color w:val="auto"/>
        </w:rPr>
        <w:t>接待</w:t>
      </w:r>
      <w:r>
        <w:rPr>
          <w:rFonts w:hint="eastAsia"/>
          <w:color w:val="auto"/>
          <w:lang w:eastAsia="zh-CN"/>
        </w:rPr>
        <w:t>批次</w:t>
      </w:r>
      <w:r>
        <w:rPr>
          <w:rFonts w:hint="eastAsia"/>
          <w:color w:val="auto"/>
          <w:lang w:val="en-US" w:eastAsia="zh-CN"/>
        </w:rPr>
        <w:t>34</w:t>
      </w:r>
      <w:r>
        <w:rPr>
          <w:rFonts w:hint="eastAsia"/>
          <w:color w:val="auto"/>
        </w:rPr>
        <w:t>个、</w:t>
      </w:r>
      <w:r>
        <w:rPr>
          <w:rFonts w:hint="eastAsia"/>
          <w:color w:val="auto"/>
          <w:lang w:eastAsia="zh-CN"/>
        </w:rPr>
        <w:t>接待</w:t>
      </w:r>
      <w:r>
        <w:rPr>
          <w:rFonts w:hint="eastAsia"/>
          <w:color w:val="auto"/>
          <w:lang w:val="en-US" w:eastAsia="zh-CN"/>
        </w:rPr>
        <w:t>240</w:t>
      </w:r>
      <w:r>
        <w:rPr>
          <w:rFonts w:hint="eastAsia"/>
          <w:color w:val="auto"/>
        </w:rPr>
        <w:t>人次，主要是用于接待相关部门检查、指导工作、调研考察及基层单位汇报工作。</w:t>
      </w:r>
    </w:p>
    <w:p>
      <w:pPr>
        <w:pStyle w:val="11"/>
        <w:bidi w:val="0"/>
        <w:rPr>
          <w:rFonts w:hint="eastAsia" w:asciiTheme="minorEastAsia" w:hAnsiTheme="minorEastAsia" w:eastAsiaTheme="minorEastAsia"/>
          <w:color w:val="auto"/>
          <w:sz w:val="32"/>
          <w:szCs w:val="32"/>
        </w:rPr>
      </w:pPr>
      <w:r>
        <w:rPr>
          <w:rFonts w:hint="eastAsia"/>
          <w:color w:val="auto"/>
        </w:rPr>
        <w:t>3、</w:t>
      </w:r>
      <w:r>
        <w:rPr>
          <w:rFonts w:hint="eastAsia"/>
          <w:color w:val="auto"/>
          <w:lang w:val="en-US" w:eastAsia="zh-CN"/>
        </w:rPr>
        <w:t>公务用车购置费及运行维护费支出决算为0.63万元，其中：公务用车购置费0万元，公务用车运行维护费0.63万元，主要是省卫健委、湘潭市卫健委开会、学习所需车辆燃料费、维修费、过桥过路费、保险费等支出，截止2021年12月31日，我单位开支财政拨款的公务用车保有量为1辆</w:t>
      </w:r>
      <w:r>
        <w:rPr>
          <w:rFonts w:hint="eastAsia" w:asciiTheme="minorEastAsia" w:hAnsiTheme="minorEastAsia" w:eastAsiaTheme="minorEastAsia"/>
          <w:color w:val="auto"/>
          <w:szCs w:val="32"/>
        </w:rPr>
        <w:t>。</w:t>
      </w:r>
    </w:p>
    <w:p>
      <w:pPr>
        <w:pStyle w:val="12"/>
        <w:bidi w:val="0"/>
        <w:rPr>
          <w:color w:val="auto"/>
        </w:rPr>
      </w:pPr>
      <w:r>
        <w:rPr>
          <w:rFonts w:hint="eastAsia"/>
          <w:color w:val="auto"/>
        </w:rPr>
        <w:t>八、政府性基金预算收入支出决算情况</w:t>
      </w:r>
    </w:p>
    <w:p>
      <w:pPr>
        <w:pStyle w:val="11"/>
        <w:bidi w:val="0"/>
        <w:rPr>
          <w:rFonts w:hint="eastAsia" w:asciiTheme="minorEastAsia" w:hAnsiTheme="minorEastAsia" w:eastAsiaTheme="minorEastAsia"/>
          <w:color w:val="auto"/>
          <w:sz w:val="32"/>
          <w:szCs w:val="32"/>
        </w:rPr>
      </w:pPr>
      <w:r>
        <w:rPr>
          <w:rFonts w:hint="eastAsia"/>
          <w:color w:val="auto"/>
          <w:lang w:eastAsia="zh-CN"/>
        </w:rPr>
        <w:t>2021</w:t>
      </w:r>
      <w:r>
        <w:rPr>
          <w:rFonts w:hint="eastAsia"/>
          <w:color w:val="auto"/>
        </w:rPr>
        <w:t>年度政府性基金预算财政拨款收入</w:t>
      </w:r>
      <w:r>
        <w:rPr>
          <w:rFonts w:hint="eastAsia"/>
          <w:color w:val="auto"/>
          <w:lang w:val="en-US" w:eastAsia="zh-CN"/>
        </w:rPr>
        <w:t>550</w:t>
      </w:r>
      <w:r>
        <w:rPr>
          <w:rFonts w:hint="eastAsia"/>
          <w:color w:val="auto"/>
        </w:rPr>
        <w:t>万元；年初结转和结余</w:t>
      </w:r>
      <w:r>
        <w:rPr>
          <w:rFonts w:hint="eastAsia"/>
          <w:color w:val="auto"/>
          <w:lang w:val="en-US" w:eastAsia="zh-CN"/>
        </w:rPr>
        <w:t>0</w:t>
      </w:r>
      <w:r>
        <w:rPr>
          <w:rFonts w:hint="eastAsia"/>
          <w:color w:val="auto"/>
        </w:rPr>
        <w:t>万元；支出</w:t>
      </w:r>
      <w:r>
        <w:rPr>
          <w:rFonts w:hint="eastAsia"/>
          <w:color w:val="auto"/>
          <w:lang w:val="en-US" w:eastAsia="zh-CN"/>
        </w:rPr>
        <w:t>550</w:t>
      </w:r>
      <w:r>
        <w:rPr>
          <w:rFonts w:hint="eastAsia"/>
          <w:color w:val="auto"/>
        </w:rPr>
        <w:t>万元，其中基本支出</w:t>
      </w:r>
      <w:r>
        <w:rPr>
          <w:rFonts w:hint="eastAsia"/>
          <w:color w:val="auto"/>
          <w:lang w:val="en-US" w:eastAsia="zh-CN"/>
        </w:rPr>
        <w:t>0</w:t>
      </w:r>
      <w:r>
        <w:rPr>
          <w:rFonts w:hint="eastAsia"/>
          <w:color w:val="auto"/>
        </w:rPr>
        <w:t>万元，项目支出</w:t>
      </w:r>
      <w:r>
        <w:rPr>
          <w:rFonts w:hint="eastAsia"/>
          <w:color w:val="auto"/>
          <w:lang w:val="en-US" w:eastAsia="zh-CN"/>
        </w:rPr>
        <w:t>550</w:t>
      </w:r>
      <w:r>
        <w:rPr>
          <w:rFonts w:hint="eastAsia"/>
          <w:color w:val="auto"/>
        </w:rPr>
        <w:t>万元；年末结转和结余</w:t>
      </w:r>
      <w:r>
        <w:rPr>
          <w:rFonts w:hint="eastAsia"/>
          <w:color w:val="auto"/>
          <w:lang w:val="en-US" w:eastAsia="zh-CN"/>
        </w:rPr>
        <w:t>0</w:t>
      </w:r>
      <w:r>
        <w:rPr>
          <w:rFonts w:hint="eastAsia"/>
          <w:color w:val="auto"/>
        </w:rPr>
        <w:t>万元。</w:t>
      </w:r>
    </w:p>
    <w:p>
      <w:pPr>
        <w:pStyle w:val="12"/>
        <w:bidi w:val="0"/>
        <w:rPr>
          <w:color w:val="auto"/>
        </w:rPr>
      </w:pPr>
      <w:r>
        <w:rPr>
          <w:rFonts w:hint="eastAsia"/>
          <w:color w:val="auto"/>
        </w:rPr>
        <w:t>九、关于机关运行经费支出说明</w:t>
      </w:r>
    </w:p>
    <w:p>
      <w:pPr>
        <w:pStyle w:val="11"/>
        <w:bidi w:val="0"/>
        <w:rPr>
          <w:rFonts w:hint="default" w:asciiTheme="minorEastAsia" w:hAnsiTheme="minorEastAsia" w:eastAsiaTheme="minorEastAsia"/>
          <w:color w:val="FF0000"/>
          <w:sz w:val="32"/>
          <w:szCs w:val="32"/>
          <w:lang w:val="en-US"/>
        </w:rPr>
      </w:pPr>
      <w:r>
        <w:rPr>
          <w:rFonts w:hint="eastAsia"/>
          <w:color w:val="auto"/>
        </w:rPr>
        <w:t>本部门</w:t>
      </w:r>
      <w:r>
        <w:rPr>
          <w:rFonts w:hint="eastAsia"/>
          <w:color w:val="auto"/>
          <w:lang w:eastAsia="zh-CN"/>
        </w:rPr>
        <w:t>2021</w:t>
      </w:r>
      <w:r>
        <w:rPr>
          <w:rFonts w:hint="eastAsia"/>
          <w:color w:val="auto"/>
        </w:rPr>
        <w:t>年度机关运行经费支出</w:t>
      </w:r>
      <w:r>
        <w:rPr>
          <w:rFonts w:hint="eastAsia"/>
          <w:color w:val="auto"/>
          <w:lang w:val="en-US" w:eastAsia="zh-CN"/>
        </w:rPr>
        <w:t>551.36</w:t>
      </w:r>
      <w:r>
        <w:rPr>
          <w:rFonts w:hint="eastAsia"/>
          <w:color w:val="auto"/>
        </w:rPr>
        <w:t>万元，比上年决算数</w:t>
      </w:r>
      <w:r>
        <w:rPr>
          <w:rFonts w:hint="eastAsia"/>
          <w:color w:val="auto"/>
          <w:lang w:val="en-US" w:eastAsia="zh-CN"/>
        </w:rPr>
        <w:t>减少351.9</w:t>
      </w:r>
      <w:r>
        <w:rPr>
          <w:rFonts w:hint="eastAsia"/>
          <w:color w:val="auto"/>
        </w:rPr>
        <w:t>万元，</w:t>
      </w:r>
      <w:r>
        <w:rPr>
          <w:rFonts w:hint="eastAsia"/>
          <w:color w:val="auto"/>
          <w:lang w:val="en-US" w:eastAsia="zh-CN"/>
        </w:rPr>
        <w:t>减少38.96</w:t>
      </w:r>
      <w:r>
        <w:rPr>
          <w:rFonts w:hint="eastAsia"/>
          <w:color w:val="auto"/>
        </w:rPr>
        <w:t>%。主要原因是：</w:t>
      </w:r>
      <w:r>
        <w:rPr>
          <w:rFonts w:hint="eastAsia"/>
          <w:color w:val="auto"/>
          <w:lang w:val="en-US" w:eastAsia="zh-CN"/>
        </w:rPr>
        <w:t>2020年新冠肺炎疫情爆发，经费增加，所以2021年经费比上年减少。</w:t>
      </w:r>
    </w:p>
    <w:p>
      <w:pPr>
        <w:pStyle w:val="12"/>
        <w:bidi w:val="0"/>
        <w:rPr>
          <w:color w:val="auto"/>
        </w:rPr>
      </w:pPr>
      <w:r>
        <w:rPr>
          <w:rFonts w:hint="eastAsia"/>
          <w:color w:val="auto"/>
        </w:rPr>
        <w:t>十、一般性支出情况</w:t>
      </w:r>
    </w:p>
    <w:p>
      <w:pPr>
        <w:pStyle w:val="11"/>
        <w:bidi w:val="0"/>
        <w:rPr>
          <w:rFonts w:hint="eastAsia" w:asciiTheme="minorEastAsia" w:hAnsiTheme="minorEastAsia" w:eastAsiaTheme="minorEastAsia"/>
          <w:color w:val="auto"/>
          <w:sz w:val="32"/>
          <w:szCs w:val="32"/>
        </w:rPr>
      </w:pPr>
      <w:r>
        <w:rPr>
          <w:rStyle w:val="19"/>
          <w:rFonts w:hint="eastAsia"/>
          <w:color w:val="auto"/>
          <w:lang w:eastAsia="zh-CN"/>
        </w:rPr>
        <w:t>2021</w:t>
      </w:r>
      <w:r>
        <w:rPr>
          <w:rStyle w:val="19"/>
          <w:rFonts w:hint="eastAsia"/>
          <w:color w:val="auto"/>
        </w:rPr>
        <w:t>年本部门开支会议费</w:t>
      </w:r>
      <w:r>
        <w:rPr>
          <w:rStyle w:val="19"/>
          <w:rFonts w:hint="eastAsia"/>
          <w:color w:val="auto"/>
          <w:lang w:val="en-US" w:eastAsia="zh-CN"/>
        </w:rPr>
        <w:t>0.15</w:t>
      </w:r>
      <w:r>
        <w:rPr>
          <w:rStyle w:val="19"/>
          <w:rFonts w:hint="eastAsia"/>
          <w:color w:val="auto"/>
        </w:rPr>
        <w:t>万元，</w:t>
      </w:r>
      <w:r>
        <w:rPr>
          <w:rStyle w:val="19"/>
          <w:rFonts w:hint="eastAsia"/>
          <w:color w:val="auto"/>
          <w:lang w:eastAsia="zh-CN"/>
        </w:rPr>
        <w:t>用于召开全市卫生计生工作会议，人数</w:t>
      </w:r>
      <w:r>
        <w:rPr>
          <w:rStyle w:val="19"/>
          <w:rFonts w:hint="eastAsia"/>
          <w:color w:val="auto"/>
          <w:lang w:val="en-US" w:eastAsia="zh-CN"/>
        </w:rPr>
        <w:t>108人，内容为湘乡市2021年卫生计生工作会议，经费开支1500元</w:t>
      </w:r>
      <w:r>
        <w:rPr>
          <w:rStyle w:val="19"/>
          <w:rFonts w:hint="eastAsia"/>
          <w:color w:val="auto"/>
        </w:rPr>
        <w:t>；开支培训费</w:t>
      </w:r>
      <w:r>
        <w:rPr>
          <w:rStyle w:val="19"/>
          <w:rFonts w:hint="eastAsia"/>
          <w:color w:val="auto"/>
          <w:lang w:val="en-US" w:eastAsia="zh-CN"/>
        </w:rPr>
        <w:t>0.54</w:t>
      </w:r>
      <w:r>
        <w:rPr>
          <w:rStyle w:val="19"/>
          <w:rFonts w:hint="eastAsia"/>
          <w:color w:val="auto"/>
        </w:rPr>
        <w:t>万元</w:t>
      </w:r>
      <w:r>
        <w:rPr>
          <w:rStyle w:val="19"/>
          <w:rFonts w:hint="eastAsia"/>
          <w:color w:val="auto"/>
          <w:lang w:eastAsia="zh-CN"/>
        </w:rPr>
        <w:t>：</w:t>
      </w:r>
      <w:r>
        <w:rPr>
          <w:rStyle w:val="19"/>
          <w:rFonts w:hint="eastAsia"/>
          <w:color w:val="auto"/>
          <w:lang w:val="en-US" w:eastAsia="zh-CN"/>
        </w:rPr>
        <w:t>用于开展卫生法规培训，人数32 人，内容为卫生法规培训，经费开支5400元。</w:t>
      </w:r>
    </w:p>
    <w:p>
      <w:pPr>
        <w:pStyle w:val="12"/>
        <w:bidi w:val="0"/>
        <w:rPr>
          <w:color w:val="auto"/>
        </w:rPr>
      </w:pPr>
      <w:r>
        <w:rPr>
          <w:rFonts w:hint="eastAsia"/>
          <w:color w:val="auto"/>
        </w:rPr>
        <w:t>十一、关于政府采购支出说明</w:t>
      </w:r>
    </w:p>
    <w:p>
      <w:pPr>
        <w:pStyle w:val="11"/>
        <w:bidi w:val="0"/>
        <w:rPr>
          <w:rFonts w:hint="eastAsia" w:asciiTheme="minorEastAsia" w:hAnsiTheme="minorEastAsia" w:eastAsiaTheme="minorEastAsia"/>
          <w:color w:val="auto"/>
          <w:sz w:val="32"/>
          <w:szCs w:val="32"/>
        </w:rPr>
      </w:pPr>
      <w:r>
        <w:rPr>
          <w:rFonts w:hint="eastAsia"/>
          <w:color w:val="auto"/>
        </w:rPr>
        <w:t>本部门</w:t>
      </w:r>
      <w:r>
        <w:rPr>
          <w:rFonts w:hint="eastAsia"/>
          <w:color w:val="auto"/>
          <w:lang w:eastAsia="zh-CN"/>
        </w:rPr>
        <w:t>2021</w:t>
      </w:r>
      <w:r>
        <w:rPr>
          <w:rFonts w:hint="eastAsia"/>
          <w:color w:val="auto"/>
        </w:rPr>
        <w:t>年度政府采购支出总额</w:t>
      </w:r>
      <w:r>
        <w:rPr>
          <w:rFonts w:hint="eastAsia"/>
          <w:color w:val="auto"/>
          <w:lang w:val="en-US" w:eastAsia="zh-CN"/>
        </w:rPr>
        <w:t>56.99</w:t>
      </w:r>
      <w:r>
        <w:rPr>
          <w:rFonts w:hint="eastAsia"/>
          <w:color w:val="auto"/>
        </w:rPr>
        <w:t>万元，其中：政府采购货物支出</w:t>
      </w:r>
      <w:r>
        <w:rPr>
          <w:rFonts w:hint="eastAsia"/>
          <w:color w:val="auto"/>
          <w:lang w:val="en-US" w:eastAsia="zh-CN"/>
        </w:rPr>
        <w:t>16.99</w:t>
      </w:r>
      <w:r>
        <w:rPr>
          <w:rFonts w:hint="eastAsia"/>
          <w:color w:val="auto"/>
        </w:rPr>
        <w:t>万元、政府采购工程支出</w:t>
      </w:r>
      <w:r>
        <w:rPr>
          <w:rFonts w:hint="eastAsia"/>
          <w:color w:val="auto"/>
          <w:lang w:val="en-US" w:eastAsia="zh-CN"/>
        </w:rPr>
        <w:t>0</w:t>
      </w:r>
      <w:r>
        <w:rPr>
          <w:rFonts w:hint="eastAsia"/>
          <w:color w:val="auto"/>
        </w:rPr>
        <w:t>万元、政府采购服务支出</w:t>
      </w:r>
      <w:r>
        <w:rPr>
          <w:rFonts w:hint="eastAsia"/>
          <w:color w:val="auto"/>
          <w:lang w:val="en-US" w:eastAsia="zh-CN"/>
        </w:rPr>
        <w:t>40</w:t>
      </w:r>
      <w:r>
        <w:rPr>
          <w:rFonts w:hint="eastAsia"/>
          <w:color w:val="auto"/>
        </w:rPr>
        <w:t>万元。授予中小企业合同金额</w:t>
      </w:r>
      <w:r>
        <w:rPr>
          <w:rFonts w:hint="eastAsia"/>
          <w:color w:val="auto"/>
          <w:lang w:val="en-US" w:eastAsia="zh-CN"/>
        </w:rPr>
        <w:t>56.99</w:t>
      </w:r>
      <w:r>
        <w:rPr>
          <w:rFonts w:hint="eastAsia"/>
          <w:color w:val="auto"/>
        </w:rPr>
        <w:t>万元，占政府采购支出总额的</w:t>
      </w:r>
      <w:r>
        <w:rPr>
          <w:rFonts w:hint="eastAsia"/>
          <w:color w:val="auto"/>
          <w:lang w:val="en-US" w:eastAsia="zh-CN"/>
        </w:rPr>
        <w:t>100</w:t>
      </w:r>
      <w:r>
        <w:rPr>
          <w:rFonts w:hint="eastAsia"/>
          <w:color w:val="auto"/>
        </w:rPr>
        <w:t>%，其中：授予小微企业合同金额</w:t>
      </w:r>
      <w:r>
        <w:rPr>
          <w:rFonts w:hint="eastAsia"/>
          <w:color w:val="auto"/>
          <w:lang w:val="en-US" w:eastAsia="zh-CN"/>
        </w:rPr>
        <w:t>56.99</w:t>
      </w:r>
      <w:r>
        <w:rPr>
          <w:rFonts w:hint="eastAsia"/>
          <w:color w:val="auto"/>
        </w:rPr>
        <w:t>万元，占政府采购支出总额的</w:t>
      </w:r>
      <w:r>
        <w:rPr>
          <w:rFonts w:hint="eastAsia"/>
          <w:color w:val="auto"/>
          <w:lang w:val="en-US" w:eastAsia="zh-CN"/>
        </w:rPr>
        <w:t>100</w:t>
      </w:r>
      <w:r>
        <w:rPr>
          <w:rFonts w:hint="eastAsia"/>
          <w:color w:val="auto"/>
        </w:rPr>
        <w:t>%。</w:t>
      </w:r>
    </w:p>
    <w:p>
      <w:pPr>
        <w:pStyle w:val="12"/>
        <w:bidi w:val="0"/>
        <w:rPr>
          <w:color w:val="auto"/>
        </w:rPr>
      </w:pPr>
      <w:r>
        <w:rPr>
          <w:rFonts w:hint="eastAsia"/>
          <w:color w:val="auto"/>
        </w:rPr>
        <w:t>十二、关于国有资产占用情况说明</w:t>
      </w:r>
    </w:p>
    <w:p>
      <w:pPr>
        <w:pStyle w:val="11"/>
        <w:bidi w:val="0"/>
        <w:rPr>
          <w:rFonts w:hint="eastAsia" w:asciiTheme="minorEastAsia" w:hAnsiTheme="minorEastAsia" w:eastAsiaTheme="minorEastAsia"/>
          <w:color w:val="auto"/>
          <w:sz w:val="32"/>
          <w:szCs w:val="32"/>
        </w:rPr>
      </w:pPr>
      <w:r>
        <w:rPr>
          <w:rFonts w:hint="eastAsia"/>
          <w:color w:val="auto"/>
        </w:rPr>
        <w:t>截至</w:t>
      </w:r>
      <w:r>
        <w:rPr>
          <w:rFonts w:hint="eastAsia"/>
          <w:color w:val="auto"/>
          <w:lang w:eastAsia="zh-CN"/>
        </w:rPr>
        <w:t>2021</w:t>
      </w:r>
      <w:r>
        <w:rPr>
          <w:rFonts w:hint="eastAsia"/>
          <w:color w:val="auto"/>
        </w:rPr>
        <w:t>年12月31日，本单位共有其他用车</w:t>
      </w:r>
      <w:r>
        <w:rPr>
          <w:rFonts w:hint="eastAsia"/>
          <w:color w:val="auto"/>
          <w:lang w:val="en-US" w:eastAsia="zh-CN"/>
        </w:rPr>
        <w:t>1辆</w:t>
      </w:r>
      <w:r>
        <w:rPr>
          <w:rFonts w:hint="eastAsia"/>
          <w:color w:val="auto"/>
        </w:rPr>
        <w:t>；单位价值 50 万元以上通用设备 0 台（套），单价 100 万元以上专用设备0台（套）。</w:t>
      </w:r>
    </w:p>
    <w:p>
      <w:pPr>
        <w:pStyle w:val="12"/>
        <w:numPr>
          <w:ilvl w:val="0"/>
          <w:numId w:val="3"/>
        </w:numPr>
        <w:bidi w:val="0"/>
        <w:rPr>
          <w:rFonts w:hint="eastAsia"/>
        </w:rPr>
      </w:pPr>
      <w:r>
        <w:rPr>
          <w:rFonts w:hint="eastAsia"/>
        </w:rPr>
        <w:t>关于</w:t>
      </w:r>
      <w:r>
        <w:rPr>
          <w:rFonts w:hint="eastAsia"/>
          <w:lang w:eastAsia="zh-CN"/>
        </w:rPr>
        <w:t>2021</w:t>
      </w:r>
      <w:r>
        <w:rPr>
          <w:rFonts w:hint="eastAsia"/>
        </w:rPr>
        <w:t>年度预算绩效情况的说明</w:t>
      </w:r>
    </w:p>
    <w:p>
      <w:pPr>
        <w:pStyle w:val="12"/>
        <w:numPr>
          <w:ilvl w:val="0"/>
          <w:numId w:val="0"/>
        </w:numPr>
        <w:bidi w:val="0"/>
        <w:rPr>
          <w:rStyle w:val="19"/>
          <w:rFonts w:hint="default"/>
          <w:b w:val="0"/>
          <w:color w:val="auto"/>
          <w:szCs w:val="22"/>
          <w:lang w:val="en-US" w:eastAsia="zh-CN" w:bidi="ar-SA"/>
        </w:rPr>
      </w:pPr>
      <w:r>
        <w:rPr>
          <w:rFonts w:hint="eastAsia"/>
          <w:lang w:val="en-US" w:eastAsia="zh-CN"/>
        </w:rPr>
        <w:t xml:space="preserve">    </w:t>
      </w:r>
      <w:r>
        <w:rPr>
          <w:rStyle w:val="19"/>
          <w:rFonts w:hint="eastAsia"/>
          <w:b w:val="0"/>
          <w:color w:val="auto"/>
          <w:szCs w:val="22"/>
          <w:lang w:val="en-US" w:eastAsia="zh-CN" w:bidi="ar-SA"/>
        </w:rPr>
        <w:t>我局2021年度部门整体支出指标体系得分93分，评价结果为优。各项年初绩效目标基本实现，经济和社会效益有所提高，项目组织管理和财务管理基本健全规范，未发生违法违规问题。</w:t>
      </w:r>
    </w:p>
    <w:p>
      <w:pPr>
        <w:pStyle w:val="15"/>
        <w:jc w:val="both"/>
        <w:rPr>
          <w:rFonts w:hint="eastAsia" w:ascii="仿宋" w:hAnsi="仿宋" w:eastAsia="仿宋" w:cs="黑体"/>
          <w:b w:val="0"/>
          <w:color w:val="auto"/>
          <w:kern w:val="0"/>
          <w:sz w:val="32"/>
          <w:szCs w:val="22"/>
          <w:lang w:val="en-US" w:eastAsia="zh-CN" w:bidi="ar-SA"/>
        </w:rPr>
      </w:pPr>
    </w:p>
    <w:p>
      <w:pPr>
        <w:pStyle w:val="15"/>
        <w:jc w:val="both"/>
        <w:rPr>
          <w:rFonts w:hint="eastAsia" w:ascii="仿宋" w:hAnsi="仿宋" w:eastAsia="仿宋" w:cs="黑体"/>
          <w:b w:val="0"/>
          <w:color w:val="auto"/>
          <w:kern w:val="0"/>
          <w:sz w:val="32"/>
          <w:szCs w:val="22"/>
          <w:lang w:val="en-US" w:eastAsia="zh-CN" w:bidi="ar-SA"/>
        </w:rPr>
      </w:pPr>
    </w:p>
    <w:p>
      <w:pPr>
        <w:pStyle w:val="15"/>
        <w:jc w:val="center"/>
        <w:rPr>
          <w:rFonts w:hint="eastAsia" w:ascii="仿宋" w:hAnsi="仿宋" w:eastAsia="仿宋" w:cs="黑体"/>
          <w:b w:val="0"/>
          <w:color w:val="auto"/>
          <w:kern w:val="0"/>
          <w:sz w:val="32"/>
          <w:szCs w:val="22"/>
          <w:lang w:val="en-US" w:eastAsia="zh-CN" w:bidi="ar-SA"/>
        </w:rPr>
      </w:pPr>
    </w:p>
    <w:p>
      <w:pPr>
        <w:pStyle w:val="15"/>
        <w:jc w:val="center"/>
        <w:rPr>
          <w:rFonts w:hint="eastAsia"/>
          <w:sz w:val="72"/>
          <w:szCs w:val="72"/>
        </w:rPr>
      </w:pPr>
    </w:p>
    <w:p>
      <w:pPr>
        <w:pStyle w:val="15"/>
        <w:jc w:val="center"/>
        <w:rPr>
          <w:rFonts w:hint="eastAsia"/>
          <w:sz w:val="72"/>
          <w:szCs w:val="72"/>
        </w:rPr>
      </w:pPr>
    </w:p>
    <w:p>
      <w:pPr>
        <w:pStyle w:val="15"/>
        <w:jc w:val="center"/>
        <w:rPr>
          <w:rFonts w:hint="eastAsia"/>
          <w:sz w:val="72"/>
          <w:szCs w:val="72"/>
        </w:rPr>
      </w:pPr>
    </w:p>
    <w:p>
      <w:pPr>
        <w:pStyle w:val="15"/>
        <w:jc w:val="center"/>
        <w:rPr>
          <w:rFonts w:hint="eastAsia"/>
          <w:sz w:val="72"/>
          <w:szCs w:val="72"/>
        </w:rPr>
      </w:pPr>
    </w:p>
    <w:p>
      <w:pPr>
        <w:pStyle w:val="15"/>
        <w:jc w:val="center"/>
        <w:rPr>
          <w:rFonts w:hint="eastAsia"/>
          <w:sz w:val="72"/>
          <w:szCs w:val="72"/>
        </w:rPr>
      </w:pPr>
    </w:p>
    <w:p>
      <w:pPr>
        <w:pStyle w:val="15"/>
        <w:jc w:val="center"/>
        <w:rPr>
          <w:rFonts w:hint="eastAsia"/>
          <w:sz w:val="72"/>
          <w:szCs w:val="72"/>
        </w:rPr>
      </w:pPr>
    </w:p>
    <w:p>
      <w:pPr>
        <w:pStyle w:val="15"/>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pStyle w:val="11"/>
        <w:bidi w:val="0"/>
      </w:pPr>
      <w:r>
        <w:t>1、财政拨款收入：指财政部门当年拨付的资金。</w:t>
      </w:r>
    </w:p>
    <w:p>
      <w:pPr>
        <w:pStyle w:val="11"/>
        <w:bidi w:val="0"/>
      </w:pPr>
      <w:r>
        <w:t>2、年初结转和结余：指以前年度尚未完成、结转到本年按有关规定继续使用的资金。</w:t>
      </w:r>
    </w:p>
    <w:p>
      <w:pPr>
        <w:pStyle w:val="11"/>
        <w:bidi w:val="0"/>
      </w:pPr>
      <w:r>
        <w:t>3、“三公”经费：纳入财政预决算管理的“三公”经费，是指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 公务接待费反映单位按规定开支的各类公务接待（含外宾接待）支出。</w:t>
      </w:r>
    </w:p>
    <w:p>
      <w:pPr>
        <w:pStyle w:val="11"/>
        <w:bidi w:val="0"/>
        <w:rPr>
          <w:rFonts w:hint="eastAsia"/>
          <w:lang w:eastAsia="zh-CN"/>
        </w:rPr>
        <w:sectPr>
          <w:pgSz w:w="11910" w:h="16840"/>
          <w:pgMar w:top="1500" w:right="1180" w:bottom="280" w:left="1580" w:header="720" w:footer="720" w:gutter="0"/>
          <w:cols w:space="720" w:num="1"/>
        </w:sectPr>
      </w:pPr>
      <w:r>
        <w:t>4、机关运行经费：为保障行政单位（含参公管理事业单位）运行用于购买货物和服务的各项资金，包括办公及印刷 费、邮电费、差旅费、会议费、福利费、日常维修费、专用材 料及 一般设备购置费、办公用房水电费、办公用房取暖费、办公用房物业管理费、公务用车运行维护费以及其他费用</w:t>
      </w:r>
      <w:r>
        <w:rPr>
          <w:rFonts w:hint="eastAsia"/>
          <w:lang w:eastAsia="zh-CN"/>
        </w:rPr>
        <w:t>。</w:t>
      </w:r>
    </w:p>
    <w:p>
      <w:pPr>
        <w:pStyle w:val="15"/>
        <w:jc w:val="both"/>
        <w:rPr>
          <w:rFonts w:hint="eastAsia" w:eastAsia="黑体"/>
          <w:sz w:val="72"/>
          <w:szCs w:val="72"/>
          <w:lang w:eastAsia="zh-CN"/>
        </w:rPr>
      </w:pPr>
    </w:p>
    <w:p>
      <w:pPr>
        <w:pStyle w:val="15"/>
        <w:jc w:val="center"/>
        <w:rPr>
          <w:sz w:val="72"/>
          <w:szCs w:val="72"/>
        </w:rPr>
      </w:pPr>
    </w:p>
    <w:p>
      <w:pPr>
        <w:pStyle w:val="15"/>
        <w:jc w:val="center"/>
        <w:rPr>
          <w:sz w:val="72"/>
          <w:szCs w:val="72"/>
        </w:rPr>
      </w:pPr>
    </w:p>
    <w:p>
      <w:pPr>
        <w:pStyle w:val="15"/>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jc w:val="center"/>
        <w:rPr>
          <w:rFonts w:ascii="黑体" w:eastAsia="黑体" w:cs="黑体"/>
          <w:color w:val="000000"/>
          <w:kern w:val="0"/>
          <w:sz w:val="70"/>
          <w:szCs w:val="70"/>
        </w:rPr>
      </w:pPr>
    </w:p>
    <w:p>
      <w:pPr>
        <w:jc w:val="center"/>
        <w:rPr>
          <w:rFonts w:hint="eastAsia" w:ascii="仿宋" w:hAnsi="仿宋" w:eastAsia="仿宋" w:cs="仿宋"/>
          <w:b/>
          <w:bCs/>
          <w:sz w:val="32"/>
          <w:szCs w:val="32"/>
        </w:rPr>
      </w:pPr>
      <w:r>
        <w:rPr>
          <w:rFonts w:hint="eastAsia" w:ascii="仿宋" w:hAnsi="仿宋" w:eastAsia="仿宋" w:cs="仿宋"/>
          <w:b/>
          <w:bCs/>
          <w:sz w:val="32"/>
          <w:szCs w:val="32"/>
        </w:rPr>
        <w:t>湘乡市卫生健康局20</w:t>
      </w:r>
      <w:r>
        <w:rPr>
          <w:rFonts w:hint="eastAsia" w:ascii="仿宋" w:hAnsi="仿宋" w:eastAsia="仿宋" w:cs="仿宋"/>
          <w:b/>
          <w:bCs/>
          <w:sz w:val="32"/>
          <w:szCs w:val="32"/>
          <w:lang w:val="en-US" w:eastAsia="zh-CN"/>
        </w:rPr>
        <w:t>21</w:t>
      </w:r>
      <w:r>
        <w:rPr>
          <w:rFonts w:hint="eastAsia" w:ascii="仿宋" w:hAnsi="仿宋" w:eastAsia="仿宋" w:cs="仿宋"/>
          <w:b/>
          <w:bCs/>
          <w:sz w:val="32"/>
          <w:szCs w:val="32"/>
        </w:rPr>
        <w:t>年度部门整体支出</w:t>
      </w:r>
    </w:p>
    <w:p>
      <w:pPr>
        <w:jc w:val="center"/>
        <w:rPr>
          <w:rFonts w:hint="eastAsia" w:ascii="仿宋" w:hAnsi="仿宋" w:eastAsia="仿宋" w:cs="仿宋"/>
          <w:b/>
          <w:bCs/>
          <w:sz w:val="32"/>
          <w:szCs w:val="32"/>
        </w:rPr>
      </w:pPr>
      <w:r>
        <w:rPr>
          <w:rFonts w:hint="eastAsia" w:ascii="仿宋" w:hAnsi="仿宋" w:eastAsia="仿宋" w:cs="仿宋"/>
          <w:b/>
          <w:bCs/>
          <w:sz w:val="32"/>
          <w:szCs w:val="32"/>
        </w:rPr>
        <w:t>绩效自评报告</w:t>
      </w:r>
    </w:p>
    <w:p>
      <w:pPr>
        <w:jc w:val="center"/>
        <w:rPr>
          <w:rFonts w:hint="eastAsia" w:ascii="仿宋" w:hAnsi="仿宋" w:eastAsia="仿宋" w:cs="仿宋"/>
          <w:b/>
          <w:bCs/>
          <w:sz w:val="32"/>
          <w:szCs w:val="32"/>
        </w:rPr>
      </w:pPr>
      <w:r>
        <w:rPr>
          <w:rFonts w:hint="eastAsia" w:ascii="仿宋" w:hAnsi="仿宋" w:eastAsia="仿宋" w:cs="仿宋"/>
          <w:b/>
          <w:bCs/>
          <w:sz w:val="32"/>
          <w:szCs w:val="32"/>
        </w:rPr>
        <w:t>一、概 况</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（一）部门基本情况</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 湘乡市卫生健康局于2018年9月由原湘乡市卫生和计划生育局机构改革转变</w:t>
      </w:r>
      <w:r>
        <w:rPr>
          <w:rFonts w:hint="eastAsia" w:ascii="仿宋" w:hAnsi="仿宋" w:eastAsia="仿宋" w:cs="仿宋"/>
          <w:sz w:val="32"/>
          <w:szCs w:val="32"/>
          <w:lang w:eastAsia="zh-CN"/>
        </w:rPr>
        <w:t>而</w:t>
      </w:r>
      <w:r>
        <w:rPr>
          <w:rFonts w:hint="eastAsia" w:ascii="仿宋" w:hAnsi="仿宋" w:eastAsia="仿宋" w:cs="仿宋"/>
          <w:sz w:val="32"/>
          <w:szCs w:val="32"/>
        </w:rPr>
        <w:t>来，是湘乡市人民政府主管全市卫生健康、计划生育工作的职能部门，负责制定全市卫生计生及中医药事业发展计划和目标，对传染病、公共卫生、饮用水卫生、学校卫生等行使监督和监测，负责实施卫生专业技术人员准入、医疗机构运行监管、公立医院改革、指导监督新型农村合作医疗等工作，组织实施全市公共卫生事件应急处置和紧急医学救援工作，组织实施计划生育利益导向、促进出生人口性别平衡、促进计划生育家庭发展等工作，指导基层卫生和计划生育、妇幼卫生服务等。我局年末编制70人，实有人数6</w:t>
      </w:r>
      <w:r>
        <w:rPr>
          <w:rFonts w:hint="eastAsia" w:ascii="仿宋" w:hAnsi="仿宋" w:eastAsia="仿宋" w:cs="仿宋"/>
          <w:sz w:val="32"/>
          <w:szCs w:val="32"/>
          <w:lang w:val="en-US" w:eastAsia="zh-CN"/>
        </w:rPr>
        <w:t>0</w:t>
      </w:r>
      <w:r>
        <w:rPr>
          <w:rFonts w:hint="eastAsia" w:ascii="仿宋" w:hAnsi="仿宋" w:eastAsia="仿宋" w:cs="仿宋"/>
          <w:sz w:val="32"/>
          <w:szCs w:val="32"/>
        </w:rPr>
        <w:t>人，固定资产6</w:t>
      </w:r>
      <w:r>
        <w:rPr>
          <w:rFonts w:hint="eastAsia" w:ascii="仿宋" w:hAnsi="仿宋" w:eastAsia="仿宋" w:cs="仿宋"/>
          <w:sz w:val="32"/>
          <w:szCs w:val="32"/>
          <w:lang w:val="en-US" w:eastAsia="zh-CN"/>
        </w:rPr>
        <w:t>81</w:t>
      </w:r>
      <w:r>
        <w:rPr>
          <w:rFonts w:hint="eastAsia" w:ascii="仿宋" w:hAnsi="仿宋" w:eastAsia="仿宋" w:cs="仿宋"/>
          <w:sz w:val="32"/>
          <w:szCs w:val="32"/>
        </w:rPr>
        <w:t>.8</w:t>
      </w:r>
      <w:r>
        <w:rPr>
          <w:rFonts w:hint="eastAsia" w:ascii="仿宋" w:hAnsi="仿宋" w:eastAsia="仿宋" w:cs="仿宋"/>
          <w:sz w:val="32"/>
          <w:szCs w:val="32"/>
          <w:lang w:val="en-US" w:eastAsia="zh-CN"/>
        </w:rPr>
        <w:t>5</w:t>
      </w:r>
      <w:r>
        <w:rPr>
          <w:rFonts w:hint="eastAsia" w:ascii="仿宋" w:hAnsi="仿宋" w:eastAsia="仿宋" w:cs="仿宋"/>
          <w:sz w:val="32"/>
          <w:szCs w:val="32"/>
        </w:rPr>
        <w:t>万元，房屋面积2800平方米，汽车1辆。</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（二）湘乡市卫生健康局的主要职能：</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市卫生健康局贯彻落实党中央关于卫生健康工作的方针政策和决策部署，全面落实省委、湘潭市委、市委关于卫生健康工作的部署要求，在履行职责过程中坚持和加强党对卫生健康工作的集中统一领导。主要职责是：</w:t>
      </w:r>
    </w:p>
    <w:p>
      <w:pPr>
        <w:ind w:firstLine="64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贯彻执行国民健康政策及国家、省、湘潭市卫生健康法律法规、规章和规范性文件。统筹规划全市卫生健康服务资源配置，指导区域卫生健康规划的编制和实施。拟订并组织实施推进卫生健康基本公共卫生服务均等化、曾惠化、便捷化和公共资源向基层延伸等政策措施。</w:t>
      </w:r>
      <w:r>
        <w:rPr>
          <w:rFonts w:hint="eastAsia" w:ascii="仿宋" w:hAnsi="仿宋" w:eastAsia="仿宋" w:cs="仿宋"/>
          <w:sz w:val="32"/>
          <w:szCs w:val="32"/>
          <w:lang w:val="en-US" w:eastAsia="zh-CN"/>
        </w:rPr>
        <w:br w:type="textWrapping"/>
      </w:r>
      <w:r>
        <w:rPr>
          <w:rFonts w:hint="eastAsia" w:ascii="仿宋" w:hAnsi="仿宋" w:eastAsia="仿宋" w:cs="仿宋"/>
          <w:sz w:val="32"/>
          <w:szCs w:val="32"/>
          <w:lang w:val="en-US" w:eastAsia="zh-CN"/>
        </w:rPr>
        <w:t xml:space="preserve">    （二）协调推进全市深化医药卫生体制改革，研究提出全市深化医药卫生体制改革政策与措施建议。组织深化公立医院综合改革，推进管办分离，健全现代医院管理制度，拟订并组织实施推动卫生健康公共服务提供主体多元化、提供方式多样化的政策措施，提出医疗服务和药品价格政策的建议。</w:t>
      </w:r>
    </w:p>
    <w:p>
      <w:pPr>
        <w:ind w:firstLine="64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（三）拟订并组织落实全市疾病预防控制规划、免疫规划以及严重危害人民健康的公共卫生问题的干预措施。负责卫生应急工作，组织指导突发公共卫生事件的预防控制和各类突发公共事件的医疗卫生救援。</w:t>
      </w:r>
    </w:p>
    <w:p>
      <w:pPr>
        <w:ind w:firstLine="64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(四）组织拟订并协调落实应对人口老龄化政策措施，推进老年健康服务体系建设和医养结合工作。</w:t>
      </w:r>
    </w:p>
    <w:p>
      <w:pPr>
        <w:ind w:firstLine="64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（五）贯彻执行国家药物政策和国家基本药物制度，开展药品使用监测、临床综合评价和短缺药品预警。组织开展食品安全风险监测，负责食源性疾病及与食品安全事故有关的流行病学调查。</w:t>
      </w:r>
    </w:p>
    <w:p>
      <w:pPr>
        <w:ind w:firstLine="64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（六）负责职责范围内的职业、放射、环境、学校、公共场所和饮用水卫生等公共卫生的监督管理。负责传染病防治监督，健全卫生健康综合监督体系。</w:t>
      </w:r>
    </w:p>
    <w:p>
      <w:pPr>
        <w:ind w:firstLine="64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七）组织医疗机构和采供血机构实施医疗技术、医疗质量、医疗服务、医疗安全的政策、规范、标准等。会同有关部门实施卫生健康专业技术人员资格标准。组织实施医疗服务规范、标准和卫生健康专业技术人员执业规则、服务规范，建立医疗机构运行监管和医疗服务评价体系。</w:t>
      </w:r>
    </w:p>
    <w:p>
      <w:pPr>
        <w:ind w:firstLine="64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（八）负责计划生育管理和服务工作，开展人口监测预警，研究提出人口与家庭发展相关政策建议，完善计划生育政策。加强药具管理工作。</w:t>
      </w:r>
    </w:p>
    <w:p>
      <w:pPr>
        <w:ind w:firstLine="64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(九）指导全市卫生健康工作，指导基层医疗卫生、妇幼健康服务体系建设，加强全科医生队伍建设。推进卫生健康科技创新发展。</w:t>
      </w:r>
    </w:p>
    <w:p>
      <w:pPr>
        <w:ind w:firstLine="64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（十）负责全市健康教育、健康促进和卫生健康信息化建设等工作。</w:t>
      </w:r>
    </w:p>
    <w:p>
      <w:pPr>
        <w:ind w:firstLine="64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（十一）负责全市保健对象的医疗保健工作，负责重要来宾、重要会议与重大活动的医疗卫生保障工作，指导全市保健工作。</w:t>
      </w:r>
    </w:p>
    <w:p>
      <w:pPr>
        <w:ind w:firstLine="64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（十二）贯彻落实中西医并重方针，组织实施市中医药事业中长期发展规划，推进中医药事业持续发展。</w:t>
      </w:r>
    </w:p>
    <w:p>
      <w:pPr>
        <w:ind w:firstLine="64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（十三）协调市计划生育协会和市红十字会的相关工作。</w:t>
      </w:r>
    </w:p>
    <w:p>
      <w:pPr>
        <w:ind w:firstLine="64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(十四）承担全市用人单位工作场所职业卫生监督检查和职业病预防有关监督管理职责，组织查处职业危害事故和违法违规行为。</w:t>
      </w:r>
    </w:p>
    <w:p>
      <w:pPr>
        <w:ind w:firstLine="64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（十五）承担市爱国卫生运动委员会日常工作。</w:t>
      </w:r>
    </w:p>
    <w:p>
      <w:pPr>
        <w:ind w:firstLine="64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（十六）完成市委、市政府交办的其他任务。</w:t>
      </w:r>
    </w:p>
    <w:p>
      <w:pPr>
        <w:ind w:firstLine="64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十七）职能转变。市卫生健康局应妥牢固树立大卫生、大健康理念，推动实施健康湘乡战略，以改革创新为动力，以促健康、转模式、强基层、重保障为着力点，把以治病为中心转变到以人民健康为中心，为人民群众提供全方位全周期健康服务。一是更加注重预防为主和健康促进，加强预防控制重大疾病工作，积极应对人口老龄化，健全健康服务体系。二是更加注重工作重心下移和资源下沉，推进卫生健康公共资源向基层延伸、向农村覆盖、向边远地区和生活困难群众倾斜。三是更加注重提高服务质量和水平，推进卫生健康基本公共服务均等化、普惠化、便捷化。四是协调推进深化医药卫生体制改革，加大公立医院改革力度，推进管办分离，推动卫生健康公共服务提供主体多元化、提供方式多样化。五是计划生育工作由管理为主向更加注重服务家庭转变，由主要依靠政府力量向政府、社会和公民多元共治转变。</w:t>
      </w:r>
    </w:p>
    <w:p>
      <w:pPr>
        <w:ind w:firstLine="64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内设股室：办公室、规划发展与信息股、体制改革股、法规股、疾病预防控制股、医政医管股、中医股、基层卫生健康股、妇幼健康股、药政政策与基本药物制度股、爱国卫生工作股、人口监测与家庭发展股、老龄健康股、职业健康股、人事股、财务股、机关党委。</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（三）绩效目标</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在今年收支预算内，确保完成以下整体目标：</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以科学编制《“十三五”卫生计生事业发展规划》，推进规划落实；加强卫计系统党建工作，狠抓项目建设，完善基础设施；深化机构改革，整合职责职能；加强精细化管理，落实基本公共卫生服务项目；夯实基层基础工作，有效防控重大疾病；加强监督管理，严格依法行政依法执业；大力提升医疗卫生服务能力，深化县级公立医院改革；宣传优生优育，贯彻落实“全面两孩”政策。深入学习宣传贯彻卫生健康政策；扎实推进基层健康建设应用工作；群策群力促进中医药事业发展为绩效目标。</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（四）20</w:t>
      </w:r>
      <w:r>
        <w:rPr>
          <w:rFonts w:hint="eastAsia" w:ascii="仿宋" w:hAnsi="仿宋" w:eastAsia="仿宋" w:cs="仿宋"/>
          <w:sz w:val="32"/>
          <w:szCs w:val="32"/>
          <w:lang w:val="en-US" w:eastAsia="zh-CN"/>
        </w:rPr>
        <w:t>21</w:t>
      </w:r>
      <w:r>
        <w:rPr>
          <w:rFonts w:hint="eastAsia" w:ascii="仿宋" w:hAnsi="仿宋" w:eastAsia="仿宋" w:cs="仿宋"/>
          <w:sz w:val="32"/>
          <w:szCs w:val="32"/>
        </w:rPr>
        <w:t>年重点工作</w:t>
      </w:r>
      <w:r>
        <w:rPr>
          <w:rFonts w:hint="eastAsia" w:ascii="仿宋" w:hAnsi="仿宋" w:eastAsia="仿宋" w:cs="仿宋"/>
          <w:sz w:val="32"/>
          <w:szCs w:val="32"/>
          <w:lang w:eastAsia="zh-CN"/>
        </w:rPr>
        <w:t>完成情况</w:t>
      </w:r>
    </w:p>
    <w:p>
      <w:pPr>
        <w:keepNext w:val="0"/>
        <w:keepLines w:val="0"/>
        <w:pageBreakBefore w:val="0"/>
        <w:widowControl w:val="0"/>
        <w:pBdr>
          <w:bottom w:val="single" w:color="FFFFFF" w:sz="4" w:space="31"/>
        </w:pBdr>
        <w:tabs>
          <w:tab w:val="left" w:pos="1440"/>
        </w:tabs>
        <w:kinsoku/>
        <w:wordWrap/>
        <w:topLinePunct w:val="0"/>
        <w:autoSpaceDE/>
        <w:autoSpaceDN/>
        <w:bidi w:val="0"/>
        <w:adjustRightInd w:val="0"/>
        <w:snapToGrid w:val="0"/>
        <w:spacing w:line="560" w:lineRule="exact"/>
        <w:ind w:firstLine="640"/>
        <w:contextualSpacing/>
        <w:textAlignment w:val="auto"/>
        <w:rPr>
          <w:rFonts w:hint="eastAsia" w:ascii="仿宋" w:hAnsi="仿宋" w:eastAsia="仿宋" w:cs="仿宋"/>
          <w:color w:val="auto"/>
          <w:sz w:val="32"/>
          <w:szCs w:val="32"/>
          <w:lang w:val="en-US" w:eastAsia="zh-CN"/>
        </w:rPr>
      </w:pPr>
      <w:r>
        <w:rPr>
          <w:rFonts w:hint="eastAsia" w:ascii="仿宋" w:hAnsi="仿宋" w:eastAsia="仿宋" w:cs="仿宋"/>
          <w:color w:val="000000"/>
          <w:sz w:val="32"/>
          <w:szCs w:val="32"/>
        </w:rPr>
        <w:t>20</w:t>
      </w:r>
      <w:r>
        <w:rPr>
          <w:rFonts w:hint="eastAsia" w:ascii="仿宋" w:hAnsi="仿宋" w:eastAsia="仿宋" w:cs="仿宋"/>
          <w:color w:val="000000"/>
          <w:sz w:val="32"/>
          <w:szCs w:val="32"/>
          <w:lang w:val="en-US" w:eastAsia="zh-CN"/>
        </w:rPr>
        <w:t>21年是卫生健康事业发展历程中极不平凡、极其重要的一年，这一年，我们上下同心、奋勇拼搏，疫情防控工作交出满意答卷，健康扶贫助推脱贫攻坚取得圆满成功。我局</w:t>
      </w:r>
      <w:r>
        <w:rPr>
          <w:rFonts w:hint="eastAsia" w:ascii="仿宋" w:hAnsi="仿宋" w:eastAsia="仿宋" w:cs="仿宋"/>
          <w:color w:val="auto"/>
          <w:sz w:val="32"/>
          <w:szCs w:val="32"/>
        </w:rPr>
        <w:t>认真贯彻落实国</w:t>
      </w:r>
      <w:r>
        <w:rPr>
          <w:rFonts w:hint="eastAsia" w:ascii="仿宋" w:hAnsi="仿宋" w:eastAsia="仿宋" w:cs="仿宋"/>
          <w:color w:val="auto"/>
          <w:sz w:val="32"/>
          <w:szCs w:val="32"/>
          <w:lang w:eastAsia="zh-CN"/>
        </w:rPr>
        <w:t>家、</w:t>
      </w:r>
      <w:r>
        <w:rPr>
          <w:rFonts w:hint="eastAsia" w:ascii="仿宋" w:hAnsi="仿宋" w:eastAsia="仿宋" w:cs="仿宋"/>
          <w:color w:val="auto"/>
          <w:sz w:val="32"/>
          <w:szCs w:val="32"/>
        </w:rPr>
        <w:t>省</w:t>
      </w:r>
      <w:r>
        <w:rPr>
          <w:rFonts w:hint="eastAsia" w:ascii="仿宋" w:hAnsi="仿宋" w:eastAsia="仿宋" w:cs="仿宋"/>
          <w:color w:val="auto"/>
          <w:sz w:val="32"/>
          <w:szCs w:val="32"/>
          <w:lang w:eastAsia="zh-CN"/>
        </w:rPr>
        <w:t>、湘潭</w:t>
      </w:r>
      <w:r>
        <w:rPr>
          <w:rFonts w:hint="eastAsia" w:ascii="仿宋" w:hAnsi="仿宋" w:eastAsia="仿宋" w:cs="仿宋"/>
          <w:color w:val="auto"/>
          <w:sz w:val="32"/>
          <w:szCs w:val="32"/>
        </w:rPr>
        <w:t>卫生健康部门和市委市政府有关决策部署，</w:t>
      </w:r>
      <w:r>
        <w:rPr>
          <w:rFonts w:hint="eastAsia" w:ascii="仿宋" w:hAnsi="仿宋" w:eastAsia="仿宋" w:cs="仿宋"/>
          <w:color w:val="auto"/>
          <w:sz w:val="32"/>
          <w:szCs w:val="32"/>
          <w:lang w:val="en-US" w:eastAsia="zh-CN"/>
        </w:rPr>
        <w:t>推动了</w:t>
      </w:r>
      <w:r>
        <w:rPr>
          <w:rFonts w:hint="eastAsia" w:ascii="仿宋" w:hAnsi="仿宋" w:eastAsia="仿宋" w:cs="仿宋"/>
          <w:color w:val="auto"/>
          <w:sz w:val="32"/>
          <w:szCs w:val="32"/>
        </w:rPr>
        <w:t>卫生健康工作</w:t>
      </w:r>
      <w:r>
        <w:rPr>
          <w:rFonts w:hint="eastAsia" w:ascii="仿宋" w:hAnsi="仿宋" w:eastAsia="仿宋" w:cs="仿宋"/>
          <w:color w:val="auto"/>
          <w:sz w:val="32"/>
          <w:szCs w:val="32"/>
          <w:lang w:val="en-US" w:eastAsia="zh-CN"/>
        </w:rPr>
        <w:t>跨越式发展，</w:t>
      </w:r>
      <w:r>
        <w:rPr>
          <w:rFonts w:hint="eastAsia" w:ascii="仿宋" w:hAnsi="仿宋" w:eastAsia="仿宋" w:cs="仿宋"/>
          <w:b w:val="0"/>
          <w:bCs w:val="0"/>
          <w:color w:val="auto"/>
          <w:sz w:val="32"/>
          <w:szCs w:val="32"/>
        </w:rPr>
        <w:t>覆盖城乡的医疗</w:t>
      </w:r>
      <w:r>
        <w:rPr>
          <w:rFonts w:hint="eastAsia" w:ascii="仿宋" w:hAnsi="仿宋" w:eastAsia="仿宋" w:cs="仿宋"/>
          <w:b w:val="0"/>
          <w:bCs w:val="0"/>
          <w:color w:val="auto"/>
          <w:sz w:val="32"/>
          <w:szCs w:val="32"/>
          <w:lang w:val="en-US" w:eastAsia="zh-CN"/>
        </w:rPr>
        <w:t>卫生</w:t>
      </w:r>
      <w:r>
        <w:rPr>
          <w:rFonts w:hint="eastAsia" w:ascii="仿宋" w:hAnsi="仿宋" w:eastAsia="仿宋" w:cs="仿宋"/>
          <w:b w:val="0"/>
          <w:bCs w:val="0"/>
          <w:color w:val="auto"/>
          <w:sz w:val="32"/>
          <w:szCs w:val="32"/>
        </w:rPr>
        <w:t>服务体系</w:t>
      </w:r>
      <w:r>
        <w:rPr>
          <w:rFonts w:hint="eastAsia" w:ascii="仿宋" w:hAnsi="仿宋" w:eastAsia="仿宋" w:cs="仿宋"/>
          <w:b w:val="0"/>
          <w:bCs w:val="0"/>
          <w:color w:val="auto"/>
          <w:sz w:val="32"/>
          <w:szCs w:val="32"/>
          <w:lang w:val="en-US" w:eastAsia="zh-CN"/>
        </w:rPr>
        <w:t>不断</w:t>
      </w:r>
      <w:r>
        <w:rPr>
          <w:rFonts w:hint="eastAsia" w:ascii="仿宋" w:hAnsi="仿宋" w:eastAsia="仿宋" w:cs="仿宋"/>
          <w:b w:val="0"/>
          <w:bCs w:val="0"/>
          <w:color w:val="auto"/>
          <w:sz w:val="32"/>
          <w:szCs w:val="32"/>
        </w:rPr>
        <w:t>完善</w:t>
      </w:r>
      <w:r>
        <w:rPr>
          <w:rFonts w:hint="eastAsia" w:ascii="仿宋" w:hAnsi="仿宋" w:eastAsia="仿宋" w:cs="仿宋"/>
          <w:b w:val="0"/>
          <w:bCs w:val="0"/>
          <w:color w:val="auto"/>
          <w:sz w:val="32"/>
          <w:szCs w:val="32"/>
          <w:lang w:eastAsia="zh-CN"/>
        </w:rPr>
        <w:t>，</w:t>
      </w:r>
      <w:r>
        <w:rPr>
          <w:rFonts w:hint="eastAsia" w:ascii="仿宋" w:hAnsi="仿宋" w:eastAsia="仿宋" w:cs="仿宋"/>
          <w:b w:val="0"/>
          <w:bCs w:val="0"/>
          <w:color w:val="auto"/>
          <w:sz w:val="32"/>
          <w:szCs w:val="32"/>
          <w:lang w:val="en-US" w:eastAsia="zh-CN"/>
        </w:rPr>
        <w:t>服务能力进一步提升，医药卫生体制综合改革纵深推进，人民群众健康获得感不断增强，人口服务和健康水平不断提高，卫生健康系统党的建设全面加强</w:t>
      </w:r>
      <w:r>
        <w:rPr>
          <w:rFonts w:hint="eastAsia" w:ascii="仿宋" w:hAnsi="仿宋" w:eastAsia="仿宋" w:cs="仿宋"/>
          <w:b w:val="0"/>
          <w:bCs w:val="0"/>
          <w:color w:val="auto"/>
          <w:sz w:val="32"/>
          <w:szCs w:val="32"/>
          <w:lang w:eastAsia="zh-CN"/>
        </w:rPr>
        <w:t>。</w:t>
      </w:r>
      <w:r>
        <w:rPr>
          <w:rFonts w:hint="eastAsia" w:ascii="仿宋" w:hAnsi="仿宋" w:eastAsia="仿宋" w:cs="仿宋"/>
          <w:b w:val="0"/>
          <w:bCs w:val="0"/>
          <w:color w:val="auto"/>
          <w:sz w:val="32"/>
          <w:szCs w:val="32"/>
          <w:lang w:val="en-US" w:eastAsia="zh-CN"/>
        </w:rPr>
        <w:t>2021年也</w:t>
      </w:r>
      <w:r>
        <w:rPr>
          <w:rFonts w:hint="eastAsia" w:ascii="仿宋" w:hAnsi="仿宋" w:eastAsia="仿宋" w:cs="仿宋"/>
          <w:color w:val="000000"/>
          <w:sz w:val="32"/>
          <w:szCs w:val="32"/>
          <w:lang w:val="en-US" w:eastAsia="zh-CN"/>
        </w:rPr>
        <w:t>是“十三五”收官之年，“十三五”期间，</w:t>
      </w:r>
      <w:r>
        <w:rPr>
          <w:rFonts w:hint="eastAsia" w:ascii="仿宋" w:hAnsi="仿宋" w:eastAsia="仿宋" w:cs="仿宋"/>
          <w:b w:val="0"/>
          <w:bCs w:val="0"/>
          <w:color w:val="auto"/>
          <w:sz w:val="32"/>
          <w:szCs w:val="32"/>
          <w:lang w:eastAsia="zh-CN"/>
        </w:rPr>
        <w:t>我们</w:t>
      </w:r>
      <w:r>
        <w:rPr>
          <w:rFonts w:hint="eastAsia" w:ascii="仿宋" w:hAnsi="仿宋" w:eastAsia="仿宋" w:cs="仿宋"/>
          <w:b w:val="0"/>
          <w:bCs w:val="0"/>
          <w:color w:val="auto"/>
          <w:sz w:val="32"/>
          <w:szCs w:val="32"/>
          <w:lang w:val="en-US" w:eastAsia="zh-CN"/>
        </w:rPr>
        <w:t>成功创建</w:t>
      </w:r>
      <w:r>
        <w:rPr>
          <w:rFonts w:hint="eastAsia" w:ascii="仿宋" w:hAnsi="仿宋" w:eastAsia="仿宋" w:cs="仿宋"/>
          <w:color w:val="auto"/>
          <w:spacing w:val="8"/>
          <w:sz w:val="32"/>
          <w:szCs w:val="32"/>
          <w:shd w:val="clear" w:color="auto" w:fill="FFFFFF"/>
        </w:rPr>
        <w:t>全国基层中医药工作先进</w:t>
      </w:r>
      <w:r>
        <w:rPr>
          <w:rFonts w:hint="eastAsia" w:ascii="仿宋" w:hAnsi="仿宋" w:eastAsia="仿宋" w:cs="仿宋"/>
          <w:color w:val="auto"/>
          <w:spacing w:val="8"/>
          <w:sz w:val="32"/>
          <w:szCs w:val="32"/>
          <w:shd w:val="clear" w:color="auto" w:fill="FFFFFF"/>
          <w:lang w:val="en-US" w:eastAsia="zh-CN"/>
        </w:rPr>
        <w:t>单位</w:t>
      </w:r>
      <w:r>
        <w:rPr>
          <w:rFonts w:hint="eastAsia" w:ascii="仿宋" w:hAnsi="仿宋" w:eastAsia="仿宋" w:cs="仿宋"/>
          <w:color w:val="auto"/>
          <w:spacing w:val="8"/>
          <w:sz w:val="32"/>
          <w:szCs w:val="32"/>
          <w:shd w:val="clear" w:color="auto" w:fill="FFFFFF"/>
        </w:rPr>
        <w:t>、</w:t>
      </w:r>
      <w:r>
        <w:rPr>
          <w:rFonts w:hint="eastAsia" w:ascii="仿宋" w:hAnsi="仿宋" w:eastAsia="仿宋" w:cs="仿宋"/>
          <w:sz w:val="32"/>
          <w:szCs w:val="32"/>
          <w:lang w:eastAsia="zh-CN"/>
        </w:rPr>
        <w:t>省级</w:t>
      </w:r>
      <w:r>
        <w:rPr>
          <w:rFonts w:hint="eastAsia" w:ascii="仿宋" w:hAnsi="仿宋" w:eastAsia="仿宋" w:cs="仿宋"/>
          <w:sz w:val="32"/>
          <w:szCs w:val="32"/>
        </w:rPr>
        <w:t>卫生城市</w:t>
      </w:r>
      <w:r>
        <w:rPr>
          <w:rFonts w:hint="eastAsia" w:ascii="仿宋" w:hAnsi="仿宋" w:eastAsia="仿宋" w:cs="仿宋"/>
          <w:sz w:val="32"/>
          <w:szCs w:val="32"/>
          <w:lang w:eastAsia="zh-CN"/>
        </w:rPr>
        <w:t>、医改真抓实干先进县市、</w:t>
      </w:r>
      <w:r>
        <w:rPr>
          <w:rFonts w:hint="eastAsia" w:ascii="仿宋" w:hAnsi="仿宋" w:eastAsia="仿宋" w:cs="仿宋"/>
          <w:sz w:val="32"/>
          <w:szCs w:val="32"/>
          <w:lang w:val="en-US" w:eastAsia="zh-CN"/>
        </w:rPr>
        <w:t>获批</w:t>
      </w:r>
      <w:r>
        <w:rPr>
          <w:rFonts w:hint="eastAsia" w:ascii="仿宋" w:hAnsi="仿宋" w:eastAsia="仿宋" w:cs="仿宋"/>
          <w:color w:val="auto"/>
          <w:spacing w:val="8"/>
          <w:sz w:val="32"/>
          <w:szCs w:val="32"/>
          <w:shd w:val="clear" w:color="auto" w:fill="FFFFFF"/>
        </w:rPr>
        <w:t>公立医院改革国家联系试点</w:t>
      </w:r>
      <w:r>
        <w:rPr>
          <w:rFonts w:hint="eastAsia" w:ascii="仿宋" w:hAnsi="仿宋" w:eastAsia="仿宋" w:cs="仿宋"/>
          <w:color w:val="auto"/>
          <w:spacing w:val="8"/>
          <w:sz w:val="32"/>
          <w:szCs w:val="32"/>
          <w:shd w:val="clear" w:color="auto" w:fill="FFFFFF"/>
          <w:lang w:eastAsia="zh-CN"/>
        </w:rPr>
        <w:t>县</w:t>
      </w:r>
      <w:r>
        <w:rPr>
          <w:rFonts w:hint="eastAsia" w:ascii="仿宋" w:hAnsi="仿宋" w:eastAsia="仿宋" w:cs="仿宋"/>
          <w:color w:val="auto"/>
          <w:spacing w:val="8"/>
          <w:sz w:val="32"/>
          <w:szCs w:val="32"/>
          <w:shd w:val="clear" w:color="auto" w:fill="FFFFFF"/>
        </w:rPr>
        <w:t>市</w:t>
      </w:r>
      <w:r>
        <w:rPr>
          <w:rFonts w:hint="eastAsia" w:ascii="仿宋" w:hAnsi="仿宋" w:eastAsia="仿宋" w:cs="仿宋"/>
          <w:color w:val="auto"/>
          <w:spacing w:val="8"/>
          <w:sz w:val="32"/>
          <w:szCs w:val="32"/>
          <w:shd w:val="clear" w:color="auto" w:fill="FFFFFF"/>
          <w:lang w:eastAsia="zh-CN"/>
        </w:rPr>
        <w:t>，连续两年获评湘潭市</w:t>
      </w:r>
      <w:r>
        <w:rPr>
          <w:rFonts w:hint="eastAsia" w:ascii="仿宋" w:hAnsi="仿宋" w:eastAsia="仿宋" w:cs="仿宋"/>
          <w:color w:val="auto"/>
          <w:spacing w:val="8"/>
          <w:sz w:val="32"/>
          <w:szCs w:val="32"/>
          <w:shd w:val="clear" w:color="auto" w:fill="FFFFFF"/>
        </w:rPr>
        <w:t>无偿献血先进</w:t>
      </w:r>
      <w:r>
        <w:rPr>
          <w:rFonts w:hint="eastAsia" w:ascii="仿宋" w:hAnsi="仿宋" w:eastAsia="仿宋" w:cs="仿宋"/>
          <w:color w:val="auto"/>
          <w:spacing w:val="8"/>
          <w:sz w:val="32"/>
          <w:szCs w:val="32"/>
          <w:shd w:val="clear" w:color="auto" w:fill="FFFFFF"/>
          <w:lang w:eastAsia="zh-CN"/>
        </w:rPr>
        <w:t>县市，市人民医院晋升三级医院，妇幼保健院晋升二甲医院，</w:t>
      </w:r>
      <w:r>
        <w:rPr>
          <w:rFonts w:hint="eastAsia" w:ascii="仿宋" w:hAnsi="仿宋" w:eastAsia="仿宋" w:cs="仿宋"/>
          <w:color w:val="auto"/>
          <w:spacing w:val="8"/>
          <w:sz w:val="32"/>
          <w:szCs w:val="32"/>
          <w:shd w:val="clear" w:color="auto" w:fill="FFFFFF"/>
          <w:lang w:val="en-US" w:eastAsia="zh-CN"/>
        </w:rPr>
        <w:t>实现了</w:t>
      </w:r>
      <w:r>
        <w:rPr>
          <w:rFonts w:hint="eastAsia" w:ascii="仿宋" w:hAnsi="仿宋" w:eastAsia="仿宋" w:cs="仿宋"/>
          <w:color w:val="000000"/>
          <w:sz w:val="32"/>
          <w:szCs w:val="32"/>
          <w:lang w:val="en-US" w:eastAsia="zh-CN"/>
        </w:rPr>
        <w:t>“十三五”</w:t>
      </w:r>
      <w:r>
        <w:rPr>
          <w:rFonts w:hint="eastAsia" w:ascii="仿宋" w:hAnsi="仿宋" w:eastAsia="仿宋" w:cs="仿宋"/>
          <w:color w:val="auto"/>
          <w:sz w:val="32"/>
          <w:szCs w:val="32"/>
        </w:rPr>
        <w:t>卫生计生事业发展规划</w:t>
      </w:r>
      <w:r>
        <w:rPr>
          <w:rFonts w:hint="eastAsia" w:ascii="仿宋" w:hAnsi="仿宋" w:eastAsia="仿宋" w:cs="仿宋"/>
          <w:color w:val="auto"/>
          <w:sz w:val="32"/>
          <w:szCs w:val="32"/>
          <w:lang w:val="en-US" w:eastAsia="zh-CN"/>
        </w:rPr>
        <w:t>的圆满收官。</w:t>
      </w:r>
    </w:p>
    <w:p>
      <w:pPr>
        <w:keepNext w:val="0"/>
        <w:keepLines w:val="0"/>
        <w:pageBreakBefore w:val="0"/>
        <w:widowControl w:val="0"/>
        <w:pBdr>
          <w:bottom w:val="single" w:color="FFFFFF" w:sz="4" w:space="31"/>
        </w:pBdr>
        <w:tabs>
          <w:tab w:val="left" w:pos="1440"/>
        </w:tabs>
        <w:kinsoku/>
        <w:wordWrap/>
        <w:topLinePunct w:val="0"/>
        <w:autoSpaceDE/>
        <w:autoSpaceDN/>
        <w:bidi w:val="0"/>
        <w:adjustRightInd w:val="0"/>
        <w:snapToGrid w:val="0"/>
        <w:spacing w:line="560" w:lineRule="exact"/>
        <w:ind w:firstLine="640"/>
        <w:contextualSpacing/>
        <w:textAlignment w:val="auto"/>
        <w:rPr>
          <w:rFonts w:hint="eastAsia" w:ascii="仿宋" w:hAnsi="仿宋" w:eastAsia="仿宋" w:cs="仿宋"/>
          <w:color w:val="auto"/>
          <w:sz w:val="32"/>
          <w:szCs w:val="32"/>
        </w:rPr>
      </w:pPr>
      <w:r>
        <w:rPr>
          <w:rFonts w:hint="eastAsia" w:ascii="仿宋" w:hAnsi="仿宋" w:eastAsia="仿宋" w:cs="仿宋"/>
          <w:b/>
          <w:sz w:val="32"/>
          <w:szCs w:val="32"/>
          <w:lang w:val="en-US" w:eastAsia="zh-CN"/>
        </w:rPr>
        <w:t>1.</w:t>
      </w:r>
      <w:r>
        <w:rPr>
          <w:rFonts w:hint="eastAsia" w:ascii="仿宋" w:hAnsi="仿宋" w:eastAsia="仿宋" w:cs="仿宋"/>
          <w:b/>
          <w:color w:val="auto"/>
          <w:sz w:val="32"/>
          <w:szCs w:val="32"/>
          <w:lang w:val="en-US" w:eastAsia="zh-CN"/>
        </w:rPr>
        <w:t>持续</w:t>
      </w:r>
      <w:r>
        <w:rPr>
          <w:rFonts w:hint="eastAsia" w:ascii="仿宋" w:hAnsi="仿宋" w:eastAsia="仿宋" w:cs="仿宋"/>
          <w:b/>
          <w:bCs w:val="0"/>
          <w:color w:val="auto"/>
          <w:sz w:val="32"/>
          <w:szCs w:val="32"/>
          <w:lang w:eastAsia="zh-CN"/>
        </w:rPr>
        <w:t>抗击</w:t>
      </w:r>
      <w:r>
        <w:rPr>
          <w:rFonts w:hint="eastAsia" w:ascii="仿宋" w:hAnsi="仿宋" w:eastAsia="仿宋" w:cs="仿宋"/>
          <w:b/>
          <w:bCs w:val="0"/>
          <w:color w:val="auto"/>
          <w:sz w:val="32"/>
          <w:szCs w:val="32"/>
        </w:rPr>
        <w:t>新冠</w:t>
      </w:r>
      <w:r>
        <w:rPr>
          <w:rFonts w:hint="eastAsia" w:ascii="仿宋" w:hAnsi="仿宋" w:eastAsia="仿宋" w:cs="仿宋"/>
          <w:b/>
          <w:bCs w:val="0"/>
          <w:color w:val="auto"/>
          <w:sz w:val="32"/>
          <w:szCs w:val="32"/>
          <w:lang w:eastAsia="zh-CN"/>
        </w:rPr>
        <w:t>肺炎</w:t>
      </w:r>
      <w:r>
        <w:rPr>
          <w:rFonts w:hint="eastAsia" w:ascii="仿宋" w:hAnsi="仿宋" w:eastAsia="仿宋" w:cs="仿宋"/>
          <w:b/>
          <w:bCs w:val="0"/>
          <w:color w:val="auto"/>
          <w:sz w:val="32"/>
          <w:szCs w:val="32"/>
        </w:rPr>
        <w:t>疫情</w:t>
      </w:r>
      <w:r>
        <w:rPr>
          <w:rFonts w:hint="eastAsia" w:ascii="仿宋" w:hAnsi="仿宋" w:eastAsia="仿宋" w:cs="仿宋"/>
          <w:b/>
          <w:color w:val="auto"/>
          <w:sz w:val="32"/>
          <w:szCs w:val="32"/>
          <w:lang w:eastAsia="zh-CN"/>
        </w:rPr>
        <w:t>。</w:t>
      </w:r>
      <w:r>
        <w:rPr>
          <w:rFonts w:hint="eastAsia" w:ascii="仿宋" w:hAnsi="仿宋" w:eastAsia="仿宋" w:cs="仿宋"/>
          <w:color w:val="auto"/>
          <w:sz w:val="32"/>
          <w:szCs w:val="32"/>
        </w:rPr>
        <w:t>新</w:t>
      </w:r>
      <w:r>
        <w:rPr>
          <w:rFonts w:hint="eastAsia" w:ascii="仿宋" w:hAnsi="仿宋" w:eastAsia="仿宋" w:cs="仿宋"/>
          <w:sz w:val="32"/>
          <w:szCs w:val="32"/>
        </w:rPr>
        <w:t>冠肺炎疫情发生以来，全市卫健系统坚决贯彻习近平总书记关于疫情防控重要指示批示精神，在市委市政府的坚强领导下，始终把人民群众生命安全和身体健康放在第一位，有力有序有效推进疫情防控工作取得阶段性成效。</w:t>
      </w:r>
      <w:r>
        <w:rPr>
          <w:rFonts w:hint="eastAsia" w:ascii="仿宋" w:hAnsi="仿宋" w:eastAsia="仿宋" w:cs="仿宋"/>
          <w:color w:val="000000"/>
          <w:kern w:val="0"/>
          <w:sz w:val="32"/>
          <w:szCs w:val="32"/>
          <w:lang w:val="en-US"/>
        </w:rPr>
        <w:t>报告3例确诊病例</w:t>
      </w:r>
      <w:r>
        <w:rPr>
          <w:rFonts w:hint="eastAsia" w:ascii="仿宋" w:hAnsi="仿宋" w:eastAsia="仿宋" w:cs="仿宋"/>
          <w:color w:val="000000"/>
          <w:kern w:val="0"/>
          <w:sz w:val="32"/>
          <w:szCs w:val="32"/>
          <w:lang w:val="en-US" w:eastAsia="zh-CN"/>
        </w:rPr>
        <w:t>已</w:t>
      </w:r>
      <w:r>
        <w:rPr>
          <w:rFonts w:hint="eastAsia" w:ascii="仿宋" w:hAnsi="仿宋" w:eastAsia="仿宋" w:cs="仿宋"/>
          <w:color w:val="000000"/>
          <w:kern w:val="0"/>
          <w:sz w:val="32"/>
          <w:szCs w:val="32"/>
          <w:lang w:val="en-US"/>
        </w:rPr>
        <w:t>全部治愈出院，</w:t>
      </w:r>
      <w:r>
        <w:rPr>
          <w:rFonts w:hint="eastAsia" w:ascii="仿宋" w:hAnsi="仿宋" w:eastAsia="仿宋" w:cs="仿宋"/>
          <w:color w:val="000000"/>
          <w:kern w:val="0"/>
          <w:sz w:val="32"/>
          <w:szCs w:val="32"/>
          <w:lang w:val="en-US" w:eastAsia="zh-CN"/>
        </w:rPr>
        <w:t>派出的</w:t>
      </w:r>
      <w:r>
        <w:rPr>
          <w:rFonts w:hint="eastAsia" w:ascii="仿宋" w:hAnsi="仿宋" w:eastAsia="仿宋" w:cs="仿宋"/>
          <w:color w:val="000000"/>
          <w:kern w:val="0"/>
          <w:sz w:val="32"/>
          <w:szCs w:val="32"/>
          <w:lang w:val="en-US"/>
        </w:rPr>
        <w:t>5名援</w:t>
      </w:r>
      <w:r>
        <w:rPr>
          <w:rFonts w:hint="eastAsia" w:ascii="仿宋" w:hAnsi="仿宋" w:eastAsia="仿宋" w:cs="仿宋"/>
          <w:color w:val="000000"/>
          <w:kern w:val="0"/>
          <w:sz w:val="32"/>
          <w:szCs w:val="32"/>
          <w:lang w:val="en-US" w:eastAsia="zh-CN"/>
        </w:rPr>
        <w:t>辽</w:t>
      </w:r>
      <w:r>
        <w:rPr>
          <w:rFonts w:hint="eastAsia" w:ascii="仿宋" w:hAnsi="仿宋" w:eastAsia="仿宋" w:cs="仿宋"/>
          <w:color w:val="000000"/>
          <w:kern w:val="0"/>
          <w:sz w:val="32"/>
          <w:szCs w:val="32"/>
          <w:lang w:val="en-US"/>
        </w:rPr>
        <w:t>医护人员</w:t>
      </w:r>
      <w:r>
        <w:rPr>
          <w:rFonts w:hint="eastAsia" w:ascii="仿宋" w:hAnsi="仿宋" w:eastAsia="仿宋" w:cs="仿宋"/>
          <w:color w:val="000000"/>
          <w:kern w:val="0"/>
          <w:sz w:val="32"/>
          <w:szCs w:val="32"/>
          <w:lang w:val="en-US" w:eastAsia="zh-CN"/>
        </w:rPr>
        <w:t>圆满完成救治任务后</w:t>
      </w:r>
      <w:r>
        <w:rPr>
          <w:rFonts w:hint="eastAsia" w:ascii="仿宋" w:hAnsi="仿宋" w:eastAsia="仿宋" w:cs="仿宋"/>
          <w:color w:val="000000"/>
          <w:kern w:val="0"/>
          <w:sz w:val="32"/>
          <w:szCs w:val="32"/>
          <w:lang w:val="en-US"/>
        </w:rPr>
        <w:t>也平安</w:t>
      </w:r>
      <w:r>
        <w:rPr>
          <w:rFonts w:hint="eastAsia" w:ascii="仿宋" w:hAnsi="仿宋" w:eastAsia="仿宋" w:cs="仿宋"/>
          <w:color w:val="000000"/>
          <w:kern w:val="0"/>
          <w:sz w:val="32"/>
          <w:szCs w:val="32"/>
          <w:lang w:val="en-US" w:eastAsia="zh-CN"/>
        </w:rPr>
        <w:t>归来</w:t>
      </w:r>
      <w:r>
        <w:rPr>
          <w:rFonts w:hint="eastAsia" w:ascii="仿宋" w:hAnsi="仿宋" w:eastAsia="仿宋" w:cs="仿宋"/>
          <w:color w:val="000000"/>
          <w:kern w:val="0"/>
          <w:sz w:val="32"/>
          <w:szCs w:val="32"/>
          <w:lang w:val="en-US"/>
        </w:rPr>
        <w:t>。</w:t>
      </w:r>
      <w:r>
        <w:rPr>
          <w:rFonts w:hint="eastAsia" w:ascii="仿宋" w:hAnsi="仿宋" w:eastAsia="仿宋" w:cs="仿宋"/>
          <w:color w:val="000000"/>
          <w:kern w:val="0"/>
          <w:sz w:val="32"/>
          <w:szCs w:val="32"/>
          <w:lang w:val="en-US" w:eastAsia="zh-CN"/>
        </w:rPr>
        <w:t>一年来，</w:t>
      </w:r>
      <w:r>
        <w:rPr>
          <w:rFonts w:hint="eastAsia" w:ascii="仿宋" w:hAnsi="仿宋" w:eastAsia="仿宋" w:cs="仿宋"/>
          <w:bCs/>
          <w:sz w:val="32"/>
          <w:szCs w:val="32"/>
        </w:rPr>
        <w:t>我市</w:t>
      </w:r>
      <w:r>
        <w:rPr>
          <w:rFonts w:hint="eastAsia" w:ascii="仿宋" w:hAnsi="仿宋" w:eastAsia="仿宋" w:cs="仿宋"/>
          <w:sz w:val="32"/>
          <w:szCs w:val="32"/>
          <w:lang w:val="en-US"/>
        </w:rPr>
        <w:t>坚决贯彻执行省委、省政府“外防输入、内防反弹”的总体防控策略</w:t>
      </w:r>
      <w:r>
        <w:rPr>
          <w:rFonts w:hint="eastAsia" w:ascii="仿宋" w:hAnsi="仿宋" w:eastAsia="仿宋" w:cs="仿宋"/>
          <w:sz w:val="32"/>
          <w:szCs w:val="32"/>
          <w:lang w:val="en-US" w:eastAsia="zh-CN"/>
        </w:rPr>
        <w:t>，根据疫情发展变化，先后开展了公共场所复工、企业复产、医疗机构复诊、学校复课的传染病防控专项督查以及常态化防控工作指导，开展场所消毒、规范设立临时隔离室、体温检测、健康宣教等工作。规范发热门诊，严格落实预检分诊，各级各类学校加强晨午检工作，落实“四早”措施。做好了重大活动的疫情防控督查指导。2021年，共大数据排查信息45890条，其中涉外1601条，国内中高风险地区44289条；闭环接返入境人员129人:健康管理9707人，其中涉鄂8869人、其他中高风险地来湘返湘人员160人、入境人员678人。</w:t>
      </w:r>
    </w:p>
    <w:p>
      <w:pPr>
        <w:keepNext w:val="0"/>
        <w:keepLines w:val="0"/>
        <w:pageBreakBefore w:val="0"/>
        <w:widowControl w:val="0"/>
        <w:pBdr>
          <w:bottom w:val="single" w:color="FFFFFF" w:sz="4" w:space="31"/>
        </w:pBdr>
        <w:tabs>
          <w:tab w:val="left" w:pos="1440"/>
        </w:tabs>
        <w:kinsoku/>
        <w:wordWrap/>
        <w:topLinePunct w:val="0"/>
        <w:autoSpaceDE/>
        <w:autoSpaceDN/>
        <w:bidi w:val="0"/>
        <w:adjustRightInd w:val="0"/>
        <w:snapToGrid w:val="0"/>
        <w:spacing w:line="560" w:lineRule="exact"/>
        <w:ind w:firstLine="640"/>
        <w:contextualSpacing/>
        <w:textAlignment w:val="auto"/>
        <w:rPr>
          <w:rFonts w:hint="eastAsia" w:ascii="仿宋" w:hAnsi="仿宋" w:eastAsia="仿宋" w:cs="仿宋"/>
          <w:color w:val="auto"/>
          <w:sz w:val="32"/>
          <w:szCs w:val="32"/>
          <w:lang w:val="en-US" w:eastAsia="zh-CN"/>
        </w:rPr>
      </w:pPr>
      <w:r>
        <w:rPr>
          <w:rFonts w:hint="eastAsia" w:ascii="仿宋" w:hAnsi="仿宋" w:eastAsia="仿宋" w:cs="仿宋"/>
          <w:b/>
          <w:color w:val="auto"/>
          <w:sz w:val="32"/>
          <w:szCs w:val="32"/>
          <w:lang w:val="en-US" w:eastAsia="zh-CN"/>
        </w:rPr>
        <w:t>2.不断加强</w:t>
      </w:r>
      <w:r>
        <w:rPr>
          <w:rFonts w:hint="eastAsia" w:ascii="仿宋" w:hAnsi="仿宋" w:eastAsia="仿宋" w:cs="仿宋"/>
          <w:b/>
          <w:bCs/>
          <w:color w:val="auto"/>
          <w:sz w:val="32"/>
          <w:szCs w:val="32"/>
        </w:rPr>
        <w:t>系统党的建设</w:t>
      </w:r>
      <w:r>
        <w:rPr>
          <w:rFonts w:hint="eastAsia" w:ascii="仿宋" w:hAnsi="仿宋" w:eastAsia="仿宋" w:cs="仿宋"/>
          <w:b/>
          <w:bCs/>
          <w:color w:val="auto"/>
          <w:sz w:val="32"/>
          <w:szCs w:val="32"/>
          <w:lang w:eastAsia="zh-CN"/>
        </w:rPr>
        <w:t>。</w:t>
      </w:r>
      <w:r>
        <w:rPr>
          <w:rFonts w:hint="eastAsia" w:ascii="仿宋" w:hAnsi="仿宋" w:eastAsia="仿宋" w:cs="仿宋"/>
          <w:color w:val="auto"/>
          <w:sz w:val="32"/>
          <w:szCs w:val="32"/>
          <w:lang w:eastAsia="zh-CN"/>
        </w:rPr>
        <w:t>坚持</w:t>
      </w:r>
      <w:r>
        <w:rPr>
          <w:rFonts w:hint="eastAsia" w:ascii="仿宋" w:hAnsi="仿宋" w:eastAsia="仿宋" w:cs="仿宋"/>
          <w:color w:val="auto"/>
          <w:sz w:val="32"/>
          <w:szCs w:val="32"/>
        </w:rPr>
        <w:t>“两学一做”学习教育常态化制度化</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深入学习贯彻党的十九大精神和习近平总书记系列重要讲话精神</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系统内党员干部做到在政治上、思想上、行动上同党中央保持高度一致。在市委</w:t>
      </w:r>
      <w:r>
        <w:rPr>
          <w:rFonts w:hint="eastAsia" w:ascii="仿宋" w:hAnsi="仿宋" w:eastAsia="仿宋" w:cs="仿宋"/>
          <w:color w:val="auto"/>
          <w:sz w:val="32"/>
          <w:szCs w:val="32"/>
          <w:lang w:eastAsia="zh-CN"/>
        </w:rPr>
        <w:t>坚强</w:t>
      </w:r>
      <w:r>
        <w:rPr>
          <w:rFonts w:hint="eastAsia" w:ascii="仿宋" w:hAnsi="仿宋" w:eastAsia="仿宋" w:cs="仿宋"/>
          <w:color w:val="auto"/>
          <w:sz w:val="32"/>
          <w:szCs w:val="32"/>
        </w:rPr>
        <w:t>领导下，</w:t>
      </w:r>
      <w:r>
        <w:rPr>
          <w:rFonts w:hint="eastAsia" w:ascii="仿宋" w:hAnsi="仿宋" w:eastAsia="仿宋" w:cs="仿宋"/>
          <w:color w:val="auto"/>
          <w:sz w:val="32"/>
          <w:szCs w:val="32"/>
          <w:lang w:eastAsia="zh-CN"/>
        </w:rPr>
        <w:t>我们对市直</w:t>
      </w:r>
      <w:r>
        <w:rPr>
          <w:rFonts w:hint="eastAsia" w:ascii="仿宋" w:hAnsi="仿宋" w:eastAsia="仿宋" w:cs="仿宋"/>
          <w:color w:val="auto"/>
          <w:sz w:val="32"/>
          <w:szCs w:val="32"/>
        </w:rPr>
        <w:t>公立医院</w:t>
      </w:r>
      <w:r>
        <w:rPr>
          <w:rFonts w:hint="eastAsia" w:ascii="仿宋" w:hAnsi="仿宋" w:eastAsia="仿宋" w:cs="仿宋"/>
          <w:color w:val="auto"/>
          <w:sz w:val="32"/>
          <w:szCs w:val="32"/>
          <w:lang w:eastAsia="zh-CN"/>
        </w:rPr>
        <w:t>的</w:t>
      </w:r>
      <w:r>
        <w:rPr>
          <w:rFonts w:hint="eastAsia" w:ascii="仿宋" w:hAnsi="仿宋" w:eastAsia="仿宋" w:cs="仿宋"/>
          <w:color w:val="auto"/>
          <w:sz w:val="32"/>
          <w:szCs w:val="32"/>
        </w:rPr>
        <w:t>党组织</w:t>
      </w:r>
      <w:r>
        <w:rPr>
          <w:rFonts w:hint="eastAsia" w:ascii="仿宋" w:hAnsi="仿宋" w:eastAsia="仿宋" w:cs="仿宋"/>
          <w:color w:val="auto"/>
          <w:sz w:val="32"/>
          <w:szCs w:val="32"/>
          <w:lang w:eastAsia="zh-CN"/>
        </w:rPr>
        <w:t>进行了规范设置</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顺利</w:t>
      </w:r>
      <w:r>
        <w:rPr>
          <w:rFonts w:hint="eastAsia" w:ascii="仿宋" w:hAnsi="仿宋" w:eastAsia="仿宋" w:cs="仿宋"/>
          <w:color w:val="auto"/>
          <w:sz w:val="32"/>
          <w:szCs w:val="32"/>
        </w:rPr>
        <w:t>完成</w:t>
      </w:r>
      <w:r>
        <w:rPr>
          <w:rFonts w:hint="eastAsia" w:ascii="仿宋" w:hAnsi="仿宋" w:eastAsia="仿宋" w:cs="仿宋"/>
          <w:color w:val="auto"/>
          <w:sz w:val="32"/>
          <w:szCs w:val="32"/>
          <w:lang w:eastAsia="zh-CN"/>
        </w:rPr>
        <w:t>四家</w:t>
      </w:r>
      <w:r>
        <w:rPr>
          <w:rFonts w:hint="eastAsia" w:ascii="仿宋" w:hAnsi="仿宋" w:eastAsia="仿宋" w:cs="仿宋"/>
          <w:color w:val="auto"/>
          <w:sz w:val="32"/>
          <w:szCs w:val="32"/>
        </w:rPr>
        <w:t>公立医院党组织的</w:t>
      </w:r>
      <w:r>
        <w:rPr>
          <w:rFonts w:hint="eastAsia" w:ascii="仿宋" w:hAnsi="仿宋" w:eastAsia="仿宋" w:cs="仿宋"/>
          <w:color w:val="auto"/>
          <w:sz w:val="32"/>
          <w:szCs w:val="32"/>
          <w:lang w:eastAsia="zh-CN"/>
        </w:rPr>
        <w:t>换届</w:t>
      </w:r>
      <w:r>
        <w:rPr>
          <w:rFonts w:hint="eastAsia" w:ascii="仿宋" w:hAnsi="仿宋" w:eastAsia="仿宋" w:cs="仿宋"/>
          <w:color w:val="auto"/>
          <w:sz w:val="32"/>
          <w:szCs w:val="32"/>
        </w:rPr>
        <w:t>选举工作，规范</w:t>
      </w:r>
      <w:r>
        <w:rPr>
          <w:rFonts w:hint="eastAsia" w:ascii="仿宋" w:hAnsi="仿宋" w:eastAsia="仿宋" w:cs="仿宋"/>
          <w:color w:val="auto"/>
          <w:sz w:val="32"/>
          <w:szCs w:val="32"/>
          <w:lang w:eastAsia="zh-CN"/>
        </w:rPr>
        <w:t>了</w:t>
      </w:r>
      <w:r>
        <w:rPr>
          <w:rFonts w:hint="eastAsia" w:ascii="仿宋" w:hAnsi="仿宋" w:eastAsia="仿宋" w:cs="仿宋"/>
          <w:color w:val="auto"/>
          <w:sz w:val="32"/>
          <w:szCs w:val="32"/>
        </w:rPr>
        <w:t>运行机制。公立医院实行党委领导下的院长负责制</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医院党委发挥把方向、管大局、作决策、促改革、保落实的领导作用。</w:t>
      </w:r>
      <w:r>
        <w:rPr>
          <w:rFonts w:hint="eastAsia" w:ascii="仿宋" w:hAnsi="仿宋" w:eastAsia="仿宋" w:cs="仿宋"/>
          <w:color w:val="auto"/>
          <w:sz w:val="32"/>
          <w:szCs w:val="32"/>
          <w:lang w:eastAsia="zh-CN"/>
        </w:rPr>
        <w:t>深化党支部“五化”建设，</w:t>
      </w:r>
      <w:r>
        <w:rPr>
          <w:rFonts w:hint="eastAsia" w:ascii="仿宋" w:hAnsi="仿宋" w:eastAsia="仿宋" w:cs="仿宋"/>
          <w:color w:val="auto"/>
          <w:sz w:val="32"/>
          <w:szCs w:val="32"/>
          <w:lang w:val="en-US" w:eastAsia="zh-CN"/>
        </w:rPr>
        <w:t>2021年系统成功创建5个“五星”党支部。疫情防控期间，</w:t>
      </w:r>
      <w:r>
        <w:rPr>
          <w:rFonts w:hint="eastAsia" w:ascii="仿宋" w:hAnsi="仿宋" w:eastAsia="仿宋" w:cs="仿宋"/>
          <w:color w:val="auto"/>
          <w:sz w:val="32"/>
          <w:szCs w:val="32"/>
        </w:rPr>
        <w:t>我们在白水塘传染病区和福利中心临时隔离点设置了两个临时党支部，一大批优秀的医护人员在繁忙的防护工作间隙纷纷向临时党支部递交入党申请书，表达加入中国共产党的志愿</w:t>
      </w:r>
      <w:r>
        <w:rPr>
          <w:rFonts w:hint="eastAsia" w:ascii="仿宋" w:hAnsi="仿宋" w:eastAsia="仿宋" w:cs="仿宋"/>
          <w:color w:val="auto"/>
          <w:sz w:val="32"/>
          <w:szCs w:val="32"/>
          <w:lang w:eastAsia="zh-CN"/>
        </w:rPr>
        <w:t>，极大体现了党组织的战斗堡垒作用和党员的先锋模范作用</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年底，开展了系统党组织书记履行党建工作和落实意识形态工作责任述职测评，党组织书记认真回顾一年来的履职情况，接受广大党员测评，反响良好。</w:t>
      </w:r>
    </w:p>
    <w:p>
      <w:pPr>
        <w:keepNext w:val="0"/>
        <w:keepLines w:val="0"/>
        <w:pageBreakBefore w:val="0"/>
        <w:widowControl w:val="0"/>
        <w:pBdr>
          <w:bottom w:val="single" w:color="FFFFFF" w:sz="4" w:space="31"/>
        </w:pBdr>
        <w:tabs>
          <w:tab w:val="left" w:pos="1440"/>
        </w:tabs>
        <w:kinsoku/>
        <w:wordWrap/>
        <w:topLinePunct w:val="0"/>
        <w:autoSpaceDE/>
        <w:autoSpaceDN/>
        <w:bidi w:val="0"/>
        <w:adjustRightInd w:val="0"/>
        <w:snapToGrid w:val="0"/>
        <w:spacing w:line="560" w:lineRule="exact"/>
        <w:ind w:firstLine="640"/>
        <w:contextualSpacing/>
        <w:textAlignment w:val="auto"/>
        <w:rPr>
          <w:rFonts w:hint="eastAsia" w:ascii="仿宋" w:hAnsi="仿宋" w:eastAsia="仿宋" w:cs="仿宋"/>
          <w:kern w:val="2"/>
          <w:sz w:val="32"/>
          <w:szCs w:val="32"/>
          <w:lang w:val="en-US" w:eastAsia="zh-CN" w:bidi="ar-SA"/>
        </w:rPr>
      </w:pPr>
      <w:r>
        <w:rPr>
          <w:rFonts w:hint="eastAsia" w:ascii="仿宋" w:hAnsi="仿宋" w:eastAsia="仿宋" w:cs="仿宋"/>
          <w:b/>
          <w:kern w:val="2"/>
          <w:sz w:val="32"/>
          <w:szCs w:val="32"/>
          <w:lang w:val="en-US" w:eastAsia="zh-CN" w:bidi="ar-SA"/>
        </w:rPr>
        <w:t>3.坚持</w:t>
      </w:r>
      <w:r>
        <w:rPr>
          <w:rFonts w:hint="eastAsia" w:ascii="仿宋" w:hAnsi="仿宋" w:eastAsia="仿宋" w:cs="仿宋"/>
          <w:b/>
          <w:bCs w:val="0"/>
          <w:color w:val="auto"/>
          <w:sz w:val="32"/>
          <w:szCs w:val="32"/>
        </w:rPr>
        <w:t>深化医药卫生体制改革。</w:t>
      </w:r>
      <w:r>
        <w:rPr>
          <w:rFonts w:hint="eastAsia" w:ascii="仿宋" w:hAnsi="仿宋" w:eastAsia="仿宋" w:cs="仿宋"/>
          <w:b/>
          <w:bCs/>
          <w:color w:val="auto"/>
          <w:kern w:val="2"/>
          <w:sz w:val="32"/>
          <w:szCs w:val="32"/>
          <w:lang w:val="en-US" w:eastAsia="zh-CN" w:bidi="ar-SA"/>
        </w:rPr>
        <w:t>一是</w:t>
      </w:r>
      <w:r>
        <w:rPr>
          <w:rFonts w:hint="eastAsia" w:ascii="仿宋" w:hAnsi="仿宋" w:eastAsia="仿宋" w:cs="仿宋"/>
          <w:color w:val="auto"/>
          <w:kern w:val="2"/>
          <w:sz w:val="32"/>
          <w:szCs w:val="32"/>
          <w:lang w:val="en-US" w:eastAsia="zh-CN" w:bidi="ar-SA"/>
        </w:rPr>
        <w:t>推</w:t>
      </w:r>
      <w:r>
        <w:rPr>
          <w:rFonts w:hint="eastAsia" w:ascii="仿宋" w:hAnsi="仿宋" w:eastAsia="仿宋" w:cs="仿宋"/>
          <w:kern w:val="2"/>
          <w:sz w:val="32"/>
          <w:szCs w:val="32"/>
          <w:lang w:val="en-US" w:eastAsia="zh-CN" w:bidi="ar-SA"/>
        </w:rPr>
        <w:t>进城乡医疗卫生机构一体化建设。在原医共体建设的基础上，推进紧密型医共体建设，棋梓卫生院整体移交市人民医院管理，建立市人民医院棋梓分院；市人民医院与虞唐中心卫生院、中医医院与月山中心卫生院、二人民医院与翻江中心卫生院建立了紧密型合作关系，正在逐步开通以心电图、影像为重点的远程视频会诊信息系统。</w:t>
      </w:r>
      <w:r>
        <w:rPr>
          <w:rFonts w:hint="eastAsia" w:ascii="仿宋" w:hAnsi="仿宋" w:eastAsia="仿宋" w:cs="仿宋"/>
          <w:b/>
          <w:bCs/>
          <w:kern w:val="2"/>
          <w:sz w:val="32"/>
          <w:szCs w:val="32"/>
          <w:lang w:val="en-US" w:eastAsia="zh-CN" w:bidi="ar-SA"/>
        </w:rPr>
        <w:t>二是</w:t>
      </w:r>
      <w:r>
        <w:rPr>
          <w:rFonts w:hint="eastAsia" w:ascii="仿宋" w:hAnsi="仿宋" w:eastAsia="仿宋" w:cs="仿宋"/>
          <w:kern w:val="2"/>
          <w:sz w:val="32"/>
          <w:szCs w:val="32"/>
          <w:lang w:val="en-US" w:eastAsia="zh-CN" w:bidi="ar-SA"/>
        </w:rPr>
        <w:t>推进家庭医生签约服务。建立健全了以县级公立医院全科医生、乡镇卫生院全科医生、乡村医生组成的家庭医生签约服务体系，为城乡居民提供健康检查、疾病筛查、健康教育、慢病管理、预约诊疗等连续性健康服务。</w:t>
      </w:r>
      <w:r>
        <w:rPr>
          <w:rFonts w:hint="eastAsia" w:ascii="仿宋" w:hAnsi="仿宋" w:eastAsia="仿宋" w:cs="仿宋"/>
          <w:b/>
          <w:bCs/>
          <w:kern w:val="2"/>
          <w:sz w:val="32"/>
          <w:szCs w:val="32"/>
          <w:lang w:val="en-US" w:eastAsia="zh-CN" w:bidi="ar-SA"/>
        </w:rPr>
        <w:t>三是</w:t>
      </w:r>
      <w:r>
        <w:rPr>
          <w:rFonts w:hint="eastAsia" w:ascii="仿宋" w:hAnsi="仿宋" w:eastAsia="仿宋" w:cs="仿宋"/>
          <w:kern w:val="2"/>
          <w:sz w:val="32"/>
          <w:szCs w:val="32"/>
          <w:lang w:val="en-US" w:eastAsia="zh-CN" w:bidi="ar-SA"/>
        </w:rPr>
        <w:t>积极开展人才引进。2021年采取公开招聘的方式招聘专业技术人员115名，其中高学历和高层次卫生专业技术人员20人，本科及以下卫生专业技术人员95名。</w:t>
      </w:r>
    </w:p>
    <w:p>
      <w:pPr>
        <w:keepNext w:val="0"/>
        <w:keepLines w:val="0"/>
        <w:pageBreakBefore w:val="0"/>
        <w:widowControl w:val="0"/>
        <w:pBdr>
          <w:bottom w:val="single" w:color="FFFFFF" w:sz="4" w:space="31"/>
        </w:pBdr>
        <w:tabs>
          <w:tab w:val="left" w:pos="1440"/>
        </w:tabs>
        <w:kinsoku/>
        <w:wordWrap/>
        <w:topLinePunct w:val="0"/>
        <w:autoSpaceDE/>
        <w:autoSpaceDN/>
        <w:bidi w:val="0"/>
        <w:adjustRightInd w:val="0"/>
        <w:snapToGrid w:val="0"/>
        <w:spacing w:line="560" w:lineRule="exact"/>
        <w:ind w:firstLine="640"/>
        <w:contextualSpacing/>
        <w:textAlignment w:val="auto"/>
        <w:rPr>
          <w:rFonts w:hint="eastAsia" w:ascii="仿宋" w:hAnsi="仿宋" w:eastAsia="仿宋" w:cs="仿宋"/>
          <w:sz w:val="32"/>
          <w:szCs w:val="32"/>
          <w:highlight w:val="none"/>
        </w:rPr>
      </w:pPr>
      <w:r>
        <w:rPr>
          <w:rFonts w:hint="eastAsia" w:ascii="仿宋" w:hAnsi="仿宋" w:eastAsia="仿宋" w:cs="仿宋"/>
          <w:b/>
          <w:kern w:val="2"/>
          <w:sz w:val="32"/>
          <w:szCs w:val="32"/>
          <w:lang w:val="en-US" w:eastAsia="zh-CN" w:bidi="ar-SA"/>
        </w:rPr>
        <w:t>4</w:t>
      </w:r>
      <w:r>
        <w:rPr>
          <w:rFonts w:hint="eastAsia" w:ascii="仿宋" w:hAnsi="仿宋" w:eastAsia="仿宋" w:cs="仿宋"/>
          <w:b/>
          <w:color w:val="auto"/>
          <w:kern w:val="2"/>
          <w:sz w:val="32"/>
          <w:szCs w:val="32"/>
          <w:lang w:val="en-US" w:eastAsia="zh-CN" w:bidi="ar-SA"/>
        </w:rPr>
        <w:t>.</w:t>
      </w:r>
      <w:r>
        <w:rPr>
          <w:rFonts w:hint="eastAsia" w:ascii="仿宋" w:hAnsi="仿宋" w:eastAsia="仿宋" w:cs="仿宋"/>
          <w:b/>
          <w:bCs w:val="0"/>
          <w:color w:val="auto"/>
          <w:sz w:val="32"/>
          <w:szCs w:val="32"/>
          <w:lang w:eastAsia="zh-CN"/>
        </w:rPr>
        <w:t>稳步推进</w:t>
      </w:r>
      <w:r>
        <w:rPr>
          <w:rFonts w:hint="eastAsia" w:ascii="仿宋" w:hAnsi="仿宋" w:eastAsia="仿宋" w:cs="仿宋"/>
          <w:b/>
          <w:color w:val="auto"/>
          <w:kern w:val="2"/>
          <w:sz w:val="32"/>
          <w:szCs w:val="32"/>
          <w:lang w:val="en-US" w:eastAsia="zh-CN" w:bidi="ar-SA"/>
        </w:rPr>
        <w:t>卫生健康</w:t>
      </w:r>
      <w:r>
        <w:rPr>
          <w:rFonts w:hint="eastAsia" w:ascii="仿宋" w:hAnsi="仿宋" w:eastAsia="仿宋" w:cs="仿宋"/>
          <w:b/>
          <w:bCs w:val="0"/>
          <w:color w:val="auto"/>
          <w:sz w:val="32"/>
          <w:szCs w:val="32"/>
          <w:lang w:eastAsia="zh-CN"/>
        </w:rPr>
        <w:t>重点项目</w:t>
      </w:r>
      <w:r>
        <w:rPr>
          <w:rFonts w:hint="eastAsia" w:ascii="仿宋" w:hAnsi="仿宋" w:eastAsia="仿宋" w:cs="仿宋"/>
          <w:b/>
          <w:color w:val="auto"/>
          <w:kern w:val="2"/>
          <w:sz w:val="32"/>
          <w:szCs w:val="32"/>
          <w:lang w:val="en-US" w:eastAsia="zh-CN" w:bidi="ar-SA"/>
        </w:rPr>
        <w:t>。</w:t>
      </w:r>
      <w:r>
        <w:rPr>
          <w:rFonts w:hint="eastAsia" w:ascii="仿宋" w:hAnsi="仿宋" w:eastAsia="仿宋" w:cs="仿宋"/>
          <w:b/>
          <w:bCs/>
          <w:color w:val="auto"/>
          <w:sz w:val="32"/>
          <w:szCs w:val="32"/>
          <w:lang w:eastAsia="zh-CN"/>
        </w:rPr>
        <w:t>一是</w:t>
      </w:r>
      <w:r>
        <w:rPr>
          <w:rFonts w:hint="eastAsia" w:ascii="仿宋" w:hAnsi="仿宋" w:eastAsia="仿宋" w:cs="仿宋"/>
          <w:sz w:val="32"/>
          <w:szCs w:val="32"/>
          <w:lang w:eastAsia="zh-CN"/>
        </w:rPr>
        <w:t>投资</w:t>
      </w:r>
      <w:r>
        <w:rPr>
          <w:rFonts w:hint="eastAsia" w:ascii="仿宋" w:hAnsi="仿宋" w:eastAsia="仿宋" w:cs="仿宋"/>
          <w:sz w:val="32"/>
          <w:szCs w:val="32"/>
          <w:lang w:val="en-US" w:eastAsia="zh-CN"/>
        </w:rPr>
        <w:t>8200万元建设</w:t>
      </w:r>
      <w:r>
        <w:rPr>
          <w:rFonts w:hint="eastAsia" w:ascii="仿宋" w:hAnsi="仿宋" w:eastAsia="仿宋" w:cs="仿宋"/>
          <w:sz w:val="32"/>
          <w:szCs w:val="32"/>
        </w:rPr>
        <w:t>湘乡市人民医院棋梓分院</w:t>
      </w:r>
      <w:r>
        <w:rPr>
          <w:rFonts w:hint="eastAsia" w:ascii="仿宋" w:hAnsi="仿宋" w:eastAsia="仿宋" w:cs="仿宋"/>
          <w:sz w:val="32"/>
          <w:szCs w:val="32"/>
          <w:lang w:eastAsia="zh-CN"/>
        </w:rPr>
        <w:t>，已完成整体搬迁</w:t>
      </w:r>
      <w:r>
        <w:rPr>
          <w:rFonts w:hint="eastAsia" w:ascii="仿宋" w:hAnsi="仿宋" w:eastAsia="仿宋" w:cs="仿宋"/>
          <w:sz w:val="32"/>
          <w:szCs w:val="32"/>
          <w:lang w:val="en-US" w:eastAsia="zh-CN"/>
        </w:rPr>
        <w:t>。</w:t>
      </w:r>
      <w:r>
        <w:rPr>
          <w:rFonts w:hint="eastAsia" w:ascii="仿宋" w:hAnsi="仿宋" w:eastAsia="仿宋" w:cs="仿宋"/>
          <w:b/>
          <w:bCs/>
          <w:sz w:val="32"/>
          <w:szCs w:val="32"/>
          <w:lang w:eastAsia="zh-CN"/>
        </w:rPr>
        <w:t>二是</w:t>
      </w:r>
      <w:r>
        <w:rPr>
          <w:rFonts w:hint="eastAsia" w:ascii="仿宋" w:hAnsi="仿宋" w:eastAsia="仿宋" w:cs="仿宋"/>
          <w:sz w:val="32"/>
          <w:szCs w:val="32"/>
          <w:lang w:eastAsia="zh-CN"/>
        </w:rPr>
        <w:t>加强公共卫生基础设施建设。按照“平战结合”的要求，</w:t>
      </w:r>
      <w:r>
        <w:rPr>
          <w:rFonts w:hint="eastAsia" w:ascii="仿宋" w:hAnsi="仿宋" w:eastAsia="仿宋" w:cs="仿宋"/>
          <w:color w:val="000000"/>
          <w:kern w:val="0"/>
          <w:sz w:val="32"/>
          <w:szCs w:val="32"/>
          <w:lang w:eastAsia="zh-CN"/>
        </w:rPr>
        <w:t>投资</w:t>
      </w:r>
      <w:r>
        <w:rPr>
          <w:rFonts w:hint="eastAsia" w:ascii="仿宋" w:hAnsi="仿宋" w:eastAsia="仿宋" w:cs="仿宋"/>
          <w:color w:val="000000"/>
          <w:kern w:val="0"/>
          <w:sz w:val="32"/>
          <w:szCs w:val="32"/>
          <w:lang w:val="en-US" w:eastAsia="zh-CN"/>
        </w:rPr>
        <w:t>1780万元</w:t>
      </w:r>
      <w:r>
        <w:rPr>
          <w:rFonts w:hint="eastAsia" w:ascii="仿宋" w:hAnsi="仿宋" w:eastAsia="仿宋" w:cs="仿宋"/>
          <w:color w:val="000000"/>
          <w:kern w:val="0"/>
          <w:sz w:val="32"/>
          <w:szCs w:val="32"/>
          <w:lang w:eastAsia="zh-CN"/>
        </w:rPr>
        <w:t>建设湘乡市临床公共卫生服务中心，新建相对独立的传染病防治区；对</w:t>
      </w:r>
      <w:r>
        <w:rPr>
          <w:rFonts w:hint="eastAsia" w:ascii="仿宋" w:hAnsi="仿宋" w:eastAsia="仿宋" w:cs="仿宋"/>
          <w:color w:val="000000"/>
          <w:kern w:val="0"/>
          <w:sz w:val="32"/>
          <w:szCs w:val="32"/>
        </w:rPr>
        <w:t>市疾控中</w:t>
      </w:r>
      <w:r>
        <w:rPr>
          <w:rFonts w:hint="eastAsia" w:ascii="仿宋" w:hAnsi="仿宋" w:eastAsia="仿宋" w:cs="仿宋"/>
          <w:sz w:val="32"/>
          <w:szCs w:val="32"/>
        </w:rPr>
        <w:t>心实验室提质改造</w:t>
      </w:r>
      <w:r>
        <w:rPr>
          <w:rFonts w:hint="eastAsia" w:ascii="仿宋" w:hAnsi="仿宋" w:eastAsia="仿宋" w:cs="仿宋"/>
          <w:sz w:val="32"/>
          <w:szCs w:val="32"/>
          <w:lang w:eastAsia="zh-CN"/>
        </w:rPr>
        <w:t>，</w:t>
      </w:r>
      <w:r>
        <w:rPr>
          <w:rFonts w:hint="eastAsia" w:ascii="仿宋" w:hAnsi="仿宋" w:eastAsia="仿宋" w:cs="仿宋"/>
          <w:color w:val="000000"/>
          <w:kern w:val="0"/>
          <w:sz w:val="32"/>
          <w:szCs w:val="32"/>
          <w:lang w:eastAsia="zh-CN"/>
        </w:rPr>
        <w:t>积极有效应对突发公共卫生事件；</w:t>
      </w:r>
      <w:r>
        <w:rPr>
          <w:rFonts w:hint="eastAsia" w:ascii="仿宋" w:hAnsi="仿宋" w:eastAsia="仿宋" w:cs="仿宋"/>
          <w:color w:val="000000"/>
          <w:kern w:val="0"/>
          <w:sz w:val="32"/>
          <w:szCs w:val="32"/>
        </w:rPr>
        <w:t>安排</w:t>
      </w:r>
      <w:r>
        <w:rPr>
          <w:rFonts w:hint="eastAsia" w:ascii="仿宋" w:hAnsi="仿宋" w:eastAsia="仿宋" w:cs="仿宋"/>
          <w:color w:val="000000"/>
          <w:kern w:val="0"/>
          <w:sz w:val="32"/>
          <w:szCs w:val="32"/>
          <w:lang w:val="en-US" w:eastAsia="zh-CN"/>
        </w:rPr>
        <w:t>1100</w:t>
      </w:r>
      <w:r>
        <w:rPr>
          <w:rFonts w:hint="eastAsia" w:ascii="仿宋" w:hAnsi="仿宋" w:eastAsia="仿宋" w:cs="仿宋"/>
          <w:color w:val="000000"/>
          <w:kern w:val="0"/>
          <w:sz w:val="32"/>
          <w:szCs w:val="32"/>
        </w:rPr>
        <w:t>万元专项经费用于改善</w:t>
      </w:r>
      <w:r>
        <w:rPr>
          <w:rFonts w:hint="eastAsia" w:ascii="仿宋" w:hAnsi="仿宋" w:eastAsia="仿宋" w:cs="仿宋"/>
          <w:color w:val="000000"/>
          <w:kern w:val="0"/>
          <w:sz w:val="32"/>
          <w:szCs w:val="32"/>
          <w:highlight w:val="none"/>
        </w:rPr>
        <w:t>乡镇卫生院基础设施，支持</w:t>
      </w:r>
      <w:r>
        <w:rPr>
          <w:rFonts w:hint="eastAsia" w:ascii="仿宋" w:hAnsi="仿宋" w:eastAsia="仿宋" w:cs="仿宋"/>
          <w:color w:val="000000"/>
          <w:kern w:val="0"/>
          <w:sz w:val="32"/>
          <w:szCs w:val="32"/>
          <w:highlight w:val="none"/>
          <w:lang w:eastAsia="zh-CN"/>
        </w:rPr>
        <w:t>白田</w:t>
      </w:r>
      <w:r>
        <w:rPr>
          <w:rFonts w:hint="eastAsia" w:ascii="仿宋" w:hAnsi="仿宋" w:eastAsia="仿宋" w:cs="仿宋"/>
          <w:color w:val="000000"/>
          <w:kern w:val="0"/>
          <w:sz w:val="32"/>
          <w:szCs w:val="32"/>
          <w:highlight w:val="none"/>
        </w:rPr>
        <w:t>、</w:t>
      </w:r>
      <w:r>
        <w:rPr>
          <w:rFonts w:hint="eastAsia" w:ascii="仿宋" w:hAnsi="仿宋" w:eastAsia="仿宋" w:cs="仿宋"/>
          <w:color w:val="000000"/>
          <w:kern w:val="0"/>
          <w:sz w:val="32"/>
          <w:szCs w:val="32"/>
          <w:highlight w:val="none"/>
          <w:lang w:eastAsia="zh-CN"/>
        </w:rPr>
        <w:t>翻江</w:t>
      </w:r>
      <w:r>
        <w:rPr>
          <w:rFonts w:hint="eastAsia" w:ascii="仿宋" w:hAnsi="仿宋" w:eastAsia="仿宋" w:cs="仿宋"/>
          <w:color w:val="000000"/>
          <w:kern w:val="0"/>
          <w:sz w:val="32"/>
          <w:szCs w:val="32"/>
          <w:highlight w:val="none"/>
        </w:rPr>
        <w:t>等乡镇卫生院达标创建</w:t>
      </w:r>
      <w:r>
        <w:rPr>
          <w:rFonts w:hint="eastAsia" w:ascii="仿宋" w:hAnsi="仿宋" w:eastAsia="仿宋" w:cs="仿宋"/>
          <w:color w:val="000000"/>
          <w:kern w:val="0"/>
          <w:sz w:val="32"/>
          <w:szCs w:val="32"/>
          <w:highlight w:val="none"/>
          <w:lang w:eastAsia="zh-CN"/>
        </w:rPr>
        <w:t>。</w:t>
      </w:r>
      <w:r>
        <w:rPr>
          <w:rFonts w:hint="eastAsia" w:ascii="仿宋" w:hAnsi="仿宋" w:eastAsia="仿宋" w:cs="仿宋"/>
          <w:b/>
          <w:bCs/>
          <w:color w:val="000000"/>
          <w:kern w:val="0"/>
          <w:sz w:val="32"/>
          <w:szCs w:val="32"/>
          <w:highlight w:val="none"/>
          <w:lang w:eastAsia="zh-CN"/>
        </w:rPr>
        <w:t>三是</w:t>
      </w:r>
      <w:r>
        <w:rPr>
          <w:rFonts w:hint="eastAsia" w:ascii="仿宋" w:hAnsi="仿宋" w:eastAsia="仿宋" w:cs="仿宋"/>
          <w:sz w:val="32"/>
          <w:szCs w:val="32"/>
          <w:highlight w:val="none"/>
          <w:lang w:val="en-US" w:eastAsia="zh-CN"/>
        </w:rPr>
        <w:t>配合推进健康产业园建设。</w:t>
      </w:r>
      <w:r>
        <w:rPr>
          <w:rFonts w:hint="eastAsia" w:ascii="仿宋" w:hAnsi="仿宋" w:eastAsia="仿宋" w:cs="仿宋"/>
          <w:sz w:val="32"/>
          <w:szCs w:val="32"/>
          <w:highlight w:val="none"/>
        </w:rPr>
        <w:t>项目选址城北先导区</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位于大将路以东、龙城大道以北、韶山灌渠以南，拟规划用地</w:t>
      </w:r>
      <w:r>
        <w:rPr>
          <w:rFonts w:hint="eastAsia" w:ascii="仿宋" w:hAnsi="仿宋" w:eastAsia="仿宋" w:cs="仿宋"/>
          <w:sz w:val="32"/>
          <w:szCs w:val="32"/>
          <w:highlight w:val="none"/>
          <w:lang w:val="en-US" w:eastAsia="zh-CN"/>
        </w:rPr>
        <w:t>300余</w:t>
      </w:r>
      <w:r>
        <w:rPr>
          <w:rFonts w:hint="eastAsia" w:ascii="仿宋" w:hAnsi="仿宋" w:eastAsia="仿宋" w:cs="仿宋"/>
          <w:sz w:val="32"/>
          <w:szCs w:val="32"/>
          <w:highlight w:val="none"/>
        </w:rPr>
        <w:t>亩</w:t>
      </w:r>
      <w:r>
        <w:rPr>
          <w:rFonts w:hint="eastAsia" w:ascii="仿宋" w:hAnsi="仿宋" w:eastAsia="仿宋" w:cs="仿宋"/>
          <w:sz w:val="32"/>
          <w:szCs w:val="32"/>
          <w:highlight w:val="none"/>
          <w:lang w:eastAsia="zh-CN"/>
        </w:rPr>
        <w:t>，高标准建设人民医院分院，具备医、养、防相结合的功能，更好地为全市老百姓健康服务</w:t>
      </w:r>
      <w:r>
        <w:rPr>
          <w:rFonts w:hint="eastAsia" w:ascii="仿宋" w:hAnsi="仿宋" w:eastAsia="仿宋" w:cs="仿宋"/>
          <w:sz w:val="32"/>
          <w:szCs w:val="32"/>
          <w:highlight w:val="none"/>
        </w:rPr>
        <w:t>。</w:t>
      </w:r>
    </w:p>
    <w:p>
      <w:pPr>
        <w:keepNext w:val="0"/>
        <w:keepLines w:val="0"/>
        <w:pageBreakBefore w:val="0"/>
        <w:widowControl w:val="0"/>
        <w:pBdr>
          <w:bottom w:val="single" w:color="FFFFFF" w:sz="4" w:space="31"/>
        </w:pBdr>
        <w:tabs>
          <w:tab w:val="left" w:pos="1440"/>
        </w:tabs>
        <w:kinsoku/>
        <w:wordWrap/>
        <w:topLinePunct w:val="0"/>
        <w:autoSpaceDE/>
        <w:autoSpaceDN/>
        <w:bidi w:val="0"/>
        <w:adjustRightInd w:val="0"/>
        <w:snapToGrid w:val="0"/>
        <w:spacing w:line="560" w:lineRule="exact"/>
        <w:ind w:firstLine="640"/>
        <w:contextualSpacing/>
        <w:textAlignment w:val="auto"/>
        <w:rPr>
          <w:rFonts w:hint="eastAsia" w:ascii="仿宋" w:hAnsi="仿宋" w:eastAsia="仿宋" w:cs="仿宋"/>
          <w:b w:val="0"/>
          <w:bCs w:val="0"/>
          <w:sz w:val="32"/>
          <w:szCs w:val="32"/>
          <w:lang w:val="en-US" w:eastAsia="zh-CN"/>
        </w:rPr>
      </w:pPr>
      <w:r>
        <w:rPr>
          <w:rFonts w:hint="eastAsia" w:ascii="仿宋" w:hAnsi="仿宋" w:eastAsia="仿宋" w:cs="仿宋"/>
          <w:b/>
          <w:kern w:val="2"/>
          <w:sz w:val="32"/>
          <w:szCs w:val="32"/>
          <w:lang w:val="en-US" w:eastAsia="zh-CN" w:bidi="ar-SA"/>
        </w:rPr>
        <w:t>5.圆满完成健康扶贫任务。</w:t>
      </w:r>
      <w:r>
        <w:rPr>
          <w:rFonts w:hint="eastAsia" w:ascii="仿宋" w:hAnsi="仿宋" w:eastAsia="仿宋" w:cs="仿宋"/>
          <w:b/>
          <w:bCs/>
          <w:sz w:val="32"/>
          <w:szCs w:val="32"/>
          <w:lang w:val="en-US" w:eastAsia="zh-CN"/>
        </w:rPr>
        <w:t>一是</w:t>
      </w:r>
      <w:r>
        <w:rPr>
          <w:rFonts w:hint="eastAsia" w:ascii="仿宋" w:hAnsi="仿宋" w:eastAsia="仿宋" w:cs="仿宋"/>
          <w:b w:val="0"/>
          <w:bCs w:val="0"/>
          <w:sz w:val="32"/>
          <w:szCs w:val="32"/>
          <w:lang w:val="en-US" w:eastAsia="zh-CN"/>
        </w:rPr>
        <w:t>2021年共核实核准农村建档立卡贫困人口罹患33种大病患者5058人，建立了工作台账，累计住院治疗和签约管理5058人，33种大病专项救治率100%。</w:t>
      </w:r>
      <w:r>
        <w:rPr>
          <w:rFonts w:hint="eastAsia" w:ascii="仿宋" w:hAnsi="仿宋" w:eastAsia="仿宋" w:cs="仿宋"/>
          <w:b/>
          <w:bCs/>
          <w:sz w:val="32"/>
          <w:szCs w:val="32"/>
          <w:lang w:val="en-US" w:eastAsia="zh-CN"/>
        </w:rPr>
        <w:t>二是</w:t>
      </w:r>
      <w:r>
        <w:rPr>
          <w:rFonts w:hint="eastAsia" w:ascii="仿宋" w:hAnsi="仿宋" w:eastAsia="仿宋" w:cs="仿宋"/>
          <w:b w:val="0"/>
          <w:bCs w:val="0"/>
          <w:sz w:val="32"/>
          <w:szCs w:val="32"/>
          <w:lang w:val="en-US" w:eastAsia="zh-CN"/>
        </w:rPr>
        <w:t>贫困人口家庭医生签约服务全覆盖，做到了“应签尽签、应管尽管”，签约服务率100%。</w:t>
      </w:r>
      <w:r>
        <w:rPr>
          <w:rFonts w:hint="eastAsia" w:ascii="仿宋" w:hAnsi="仿宋" w:eastAsia="仿宋" w:cs="仿宋"/>
          <w:b/>
          <w:bCs/>
          <w:sz w:val="32"/>
          <w:szCs w:val="32"/>
          <w:lang w:val="en-US" w:eastAsia="zh-CN"/>
        </w:rPr>
        <w:t>三是</w:t>
      </w:r>
      <w:r>
        <w:rPr>
          <w:rFonts w:hint="eastAsia" w:ascii="仿宋" w:hAnsi="仿宋" w:eastAsia="仿宋" w:cs="仿宋"/>
          <w:b w:val="0"/>
          <w:bCs w:val="0"/>
          <w:sz w:val="32"/>
          <w:szCs w:val="32"/>
          <w:lang w:val="en-US" w:eastAsia="zh-CN"/>
        </w:rPr>
        <w:t>全市36家定点医疗机构均设立健康扶贫“一站式”结算窗口，提供“一站式”结算服务，全面落实了“先诊疗后付费”制度。2021年共有20006人次县域内住院享受了先诊疗后付费政策福利。</w:t>
      </w:r>
    </w:p>
    <w:p>
      <w:pPr>
        <w:keepNext w:val="0"/>
        <w:keepLines w:val="0"/>
        <w:pageBreakBefore w:val="0"/>
        <w:widowControl w:val="0"/>
        <w:pBdr>
          <w:bottom w:val="single" w:color="FFFFFF" w:sz="4" w:space="31"/>
        </w:pBdr>
        <w:tabs>
          <w:tab w:val="left" w:pos="1440"/>
        </w:tabs>
        <w:kinsoku/>
        <w:wordWrap/>
        <w:topLinePunct w:val="0"/>
        <w:autoSpaceDE/>
        <w:autoSpaceDN/>
        <w:bidi w:val="0"/>
        <w:adjustRightInd w:val="0"/>
        <w:snapToGrid w:val="0"/>
        <w:spacing w:line="560" w:lineRule="exact"/>
        <w:ind w:firstLine="640"/>
        <w:contextualSpacing/>
        <w:textAlignment w:val="auto"/>
        <w:rPr>
          <w:rFonts w:hint="eastAsia" w:ascii="仿宋" w:hAnsi="仿宋" w:eastAsia="仿宋" w:cs="仿宋"/>
          <w:b w:val="0"/>
          <w:bCs w:val="0"/>
          <w:sz w:val="32"/>
          <w:szCs w:val="32"/>
          <w:highlight w:val="none"/>
          <w:lang w:val="en-US" w:eastAsia="zh-CN"/>
        </w:rPr>
      </w:pPr>
      <w:r>
        <w:rPr>
          <w:rFonts w:hint="eastAsia" w:ascii="仿宋" w:hAnsi="仿宋" w:eastAsia="仿宋" w:cs="仿宋"/>
          <w:b/>
          <w:kern w:val="2"/>
          <w:sz w:val="32"/>
          <w:szCs w:val="32"/>
          <w:lang w:val="en-US" w:eastAsia="zh-CN" w:bidi="ar-SA"/>
        </w:rPr>
        <w:t>6.扎实办好重点民生实事。</w:t>
      </w:r>
      <w:r>
        <w:rPr>
          <w:rFonts w:hint="eastAsia" w:ascii="仿宋" w:hAnsi="仿宋" w:eastAsia="仿宋" w:cs="仿宋"/>
          <w:b/>
          <w:kern w:val="2"/>
          <w:sz w:val="32"/>
          <w:szCs w:val="32"/>
          <w:highlight w:val="none"/>
          <w:lang w:val="en-US" w:eastAsia="zh-CN" w:bidi="ar-SA"/>
        </w:rPr>
        <w:t xml:space="preserve"> </w:t>
      </w:r>
      <w:r>
        <w:rPr>
          <w:rFonts w:hint="eastAsia" w:ascii="仿宋" w:hAnsi="仿宋" w:eastAsia="仿宋" w:cs="仿宋"/>
          <w:b w:val="0"/>
          <w:bCs w:val="0"/>
          <w:sz w:val="32"/>
          <w:szCs w:val="32"/>
          <w:highlight w:val="none"/>
          <w:lang w:val="en-US" w:eastAsia="zh-CN"/>
        </w:rPr>
        <w:t>2021年，市卫健局承担省、湘潭市、湘乡市重点民生实事项目8项，全部完成或超额完成任务。完成孕产妇免费产前筛查3900人；救治救助严重精神障碍患者292人；免费开展艾滋病检测64349例（筛查阳性7例）；配套村卫生室运行经费178.2万元；扶助60周岁以上失独老人321人；完成乡级预防接种门诊数字化建设与儿童保健门诊规范化建设17家；所有建制乡镇医院2名全科医生全覆盖；新生儿遗传代谢病筛查实现全覆盖。</w:t>
      </w:r>
    </w:p>
    <w:p>
      <w:pPr>
        <w:keepNext w:val="0"/>
        <w:keepLines w:val="0"/>
        <w:pageBreakBefore w:val="0"/>
        <w:widowControl w:val="0"/>
        <w:pBdr>
          <w:bottom w:val="single" w:color="FFFFFF" w:sz="4" w:space="31"/>
        </w:pBdr>
        <w:tabs>
          <w:tab w:val="left" w:pos="1440"/>
        </w:tabs>
        <w:kinsoku/>
        <w:wordWrap/>
        <w:topLinePunct w:val="0"/>
        <w:autoSpaceDE/>
        <w:autoSpaceDN/>
        <w:bidi w:val="0"/>
        <w:adjustRightInd w:val="0"/>
        <w:snapToGrid w:val="0"/>
        <w:spacing w:line="560" w:lineRule="exact"/>
        <w:ind w:firstLine="640"/>
        <w:contextualSpacing/>
        <w:textAlignment w:val="auto"/>
        <w:rPr>
          <w:rStyle w:val="20"/>
          <w:rFonts w:hint="eastAsia" w:ascii="仿宋" w:hAnsi="仿宋" w:eastAsia="仿宋" w:cs="仿宋"/>
          <w:color w:val="000000"/>
          <w:kern w:val="2"/>
          <w:sz w:val="32"/>
          <w:szCs w:val="32"/>
          <w:lang w:val="en-US" w:eastAsia="zh-CN" w:bidi="ar-SA"/>
        </w:rPr>
      </w:pPr>
      <w:r>
        <w:rPr>
          <w:rFonts w:hint="eastAsia" w:ascii="仿宋" w:hAnsi="仿宋" w:eastAsia="仿宋" w:cs="仿宋"/>
          <w:b/>
          <w:bCs/>
          <w:sz w:val="32"/>
          <w:szCs w:val="32"/>
          <w:lang w:val="en-US" w:eastAsia="zh-CN"/>
        </w:rPr>
        <w:t>7.持续推进爱国卫生工作。</w:t>
      </w:r>
      <w:r>
        <w:rPr>
          <w:rStyle w:val="20"/>
          <w:rFonts w:hint="eastAsia" w:ascii="仿宋" w:hAnsi="仿宋" w:eastAsia="仿宋" w:cs="仿宋"/>
          <w:kern w:val="2"/>
          <w:sz w:val="32"/>
          <w:szCs w:val="32"/>
          <w:lang w:val="en-US" w:eastAsia="zh-CN" w:bidi="ar-SA"/>
        </w:rPr>
        <w:t>积极</w:t>
      </w:r>
      <w:r>
        <w:rPr>
          <w:rStyle w:val="20"/>
          <w:rFonts w:hint="eastAsia" w:ascii="仿宋" w:hAnsi="仿宋" w:eastAsia="仿宋" w:cs="仿宋"/>
          <w:color w:val="000000"/>
          <w:kern w:val="2"/>
          <w:sz w:val="32"/>
          <w:szCs w:val="32"/>
          <w:lang w:val="en-US" w:eastAsia="zh-CN" w:bidi="ar-SA"/>
        </w:rPr>
        <w:t>贯彻落实习近平总书记关于“深入开展爱国卫生运动”的重要讲话和指示精神，</w:t>
      </w:r>
      <w:r>
        <w:rPr>
          <w:rStyle w:val="20"/>
          <w:rFonts w:hint="eastAsia" w:ascii="仿宋" w:hAnsi="仿宋" w:eastAsia="仿宋" w:cs="仿宋"/>
          <w:b w:val="0"/>
          <w:bCs w:val="0"/>
          <w:kern w:val="2"/>
          <w:sz w:val="32"/>
          <w:szCs w:val="32"/>
          <w:lang w:val="en-US" w:eastAsia="zh-CN" w:bidi="ar-SA"/>
        </w:rPr>
        <w:t>以卫生创建、</w:t>
      </w:r>
      <w:r>
        <w:rPr>
          <w:rStyle w:val="20"/>
          <w:rFonts w:hint="eastAsia" w:ascii="仿宋" w:hAnsi="仿宋" w:eastAsia="仿宋" w:cs="仿宋"/>
          <w:color w:val="000000"/>
          <w:kern w:val="2"/>
          <w:sz w:val="32"/>
          <w:szCs w:val="32"/>
          <w:lang w:val="en-US" w:eastAsia="zh-CN" w:bidi="ar-SA"/>
        </w:rPr>
        <w:t>鼠密度控制水平达标与巩固省级卫生城市复审迎检</w:t>
      </w:r>
      <w:r>
        <w:rPr>
          <w:rStyle w:val="20"/>
          <w:rFonts w:hint="eastAsia" w:ascii="仿宋" w:hAnsi="仿宋" w:eastAsia="仿宋" w:cs="仿宋"/>
          <w:b w:val="0"/>
          <w:bCs w:val="0"/>
          <w:kern w:val="2"/>
          <w:sz w:val="32"/>
          <w:szCs w:val="32"/>
          <w:lang w:val="en-US" w:eastAsia="zh-CN" w:bidi="ar-SA"/>
        </w:rPr>
        <w:t>为抓手，充分发挥群众运动的优势，</w:t>
      </w:r>
      <w:r>
        <w:rPr>
          <w:rStyle w:val="20"/>
          <w:rFonts w:hint="eastAsia" w:ascii="仿宋" w:hAnsi="仿宋" w:eastAsia="仿宋" w:cs="仿宋"/>
          <w:color w:val="000000"/>
          <w:kern w:val="2"/>
          <w:sz w:val="32"/>
          <w:szCs w:val="32"/>
          <w:lang w:val="en-US" w:eastAsia="zh-CN" w:bidi="ar-SA"/>
        </w:rPr>
        <w:t>切实加强爱卫组织管理、爱卫宣传、卫生创建、健康教育与控烟、病媒生物防制和人居环境整治工作，</w:t>
      </w:r>
      <w:r>
        <w:rPr>
          <w:rFonts w:hint="eastAsia" w:ascii="仿宋" w:hAnsi="仿宋" w:eastAsia="仿宋" w:cs="仿宋"/>
          <w:sz w:val="32"/>
          <w:szCs w:val="32"/>
          <w:lang w:eastAsia="zh-CN"/>
        </w:rPr>
        <w:t>组织开展冬春季爱国卫生运动，</w:t>
      </w:r>
      <w:r>
        <w:rPr>
          <w:rStyle w:val="20"/>
          <w:rFonts w:hint="eastAsia" w:ascii="仿宋" w:hAnsi="仿宋" w:eastAsia="仿宋" w:cs="仿宋"/>
          <w:color w:val="000000"/>
          <w:kern w:val="2"/>
          <w:sz w:val="32"/>
          <w:szCs w:val="32"/>
          <w:lang w:val="en-US" w:eastAsia="zh-CN" w:bidi="ar-SA"/>
        </w:rPr>
        <w:t>持续推进新时代爱国卫生工作，为新冠肺炎疫情防控发挥了积极的作用。</w:t>
      </w:r>
      <w:r>
        <w:rPr>
          <w:rFonts w:hint="eastAsia" w:ascii="仿宋" w:hAnsi="仿宋" w:eastAsia="仿宋" w:cs="仿宋"/>
          <w:sz w:val="32"/>
          <w:szCs w:val="32"/>
        </w:rPr>
        <w:t>202</w:t>
      </w:r>
      <w:r>
        <w:rPr>
          <w:rFonts w:hint="eastAsia" w:ascii="仿宋" w:hAnsi="仿宋" w:eastAsia="仿宋" w:cs="仿宋"/>
          <w:sz w:val="32"/>
          <w:szCs w:val="32"/>
          <w:lang w:val="en-US" w:eastAsia="zh-CN"/>
        </w:rPr>
        <w:t>1</w:t>
      </w:r>
      <w:r>
        <w:rPr>
          <w:rFonts w:hint="eastAsia" w:ascii="仿宋" w:hAnsi="仿宋" w:eastAsia="仿宋" w:cs="仿宋"/>
          <w:sz w:val="32"/>
          <w:szCs w:val="32"/>
        </w:rPr>
        <w:t>年，新</w:t>
      </w:r>
      <w:r>
        <w:rPr>
          <w:rFonts w:hint="eastAsia" w:ascii="仿宋" w:hAnsi="仿宋" w:eastAsia="仿宋" w:cs="仿宋"/>
          <w:sz w:val="32"/>
          <w:szCs w:val="32"/>
          <w:lang w:eastAsia="zh-CN"/>
        </w:rPr>
        <w:t>创</w:t>
      </w:r>
      <w:r>
        <w:rPr>
          <w:rFonts w:hint="eastAsia" w:ascii="仿宋" w:hAnsi="仿宋" w:eastAsia="仿宋" w:cs="仿宋"/>
          <w:sz w:val="32"/>
          <w:szCs w:val="32"/>
        </w:rPr>
        <w:t>湘潭市文明卫生单位1</w:t>
      </w:r>
      <w:r>
        <w:rPr>
          <w:rFonts w:hint="eastAsia" w:ascii="仿宋" w:hAnsi="仿宋" w:eastAsia="仿宋" w:cs="仿宋"/>
          <w:sz w:val="32"/>
          <w:szCs w:val="32"/>
          <w:lang w:val="en-US" w:eastAsia="zh-CN"/>
        </w:rPr>
        <w:t>1</w:t>
      </w:r>
      <w:r>
        <w:rPr>
          <w:rFonts w:hint="eastAsia" w:ascii="仿宋" w:hAnsi="仿宋" w:eastAsia="仿宋" w:cs="仿宋"/>
          <w:sz w:val="32"/>
          <w:szCs w:val="32"/>
        </w:rPr>
        <w:t>家、省级文明卫生单位37家、湘潭市无烟单位</w:t>
      </w:r>
      <w:r>
        <w:rPr>
          <w:rFonts w:hint="eastAsia" w:ascii="仿宋" w:hAnsi="仿宋" w:eastAsia="仿宋" w:cs="仿宋"/>
          <w:sz w:val="32"/>
          <w:szCs w:val="32"/>
          <w:lang w:val="en-US" w:eastAsia="zh-CN"/>
        </w:rPr>
        <w:t>11</w:t>
      </w:r>
      <w:r>
        <w:rPr>
          <w:rFonts w:hint="eastAsia" w:ascii="仿宋" w:hAnsi="仿宋" w:eastAsia="仿宋" w:cs="仿宋"/>
          <w:sz w:val="32"/>
          <w:szCs w:val="32"/>
        </w:rPr>
        <w:t>家、湘潭市卫生村</w:t>
      </w:r>
      <w:r>
        <w:rPr>
          <w:rFonts w:hint="eastAsia" w:ascii="仿宋" w:hAnsi="仿宋" w:eastAsia="仿宋" w:cs="仿宋"/>
          <w:sz w:val="32"/>
          <w:szCs w:val="32"/>
          <w:lang w:val="en-US" w:eastAsia="zh-CN"/>
        </w:rPr>
        <w:t>3</w:t>
      </w:r>
      <w:r>
        <w:rPr>
          <w:rFonts w:hint="eastAsia" w:ascii="仿宋" w:hAnsi="仿宋" w:eastAsia="仿宋" w:cs="仿宋"/>
          <w:sz w:val="32"/>
          <w:szCs w:val="32"/>
        </w:rPr>
        <w:t>个</w:t>
      </w:r>
      <w:r>
        <w:rPr>
          <w:rFonts w:hint="eastAsia" w:ascii="仿宋" w:hAnsi="仿宋" w:eastAsia="仿宋" w:cs="仿宋"/>
          <w:sz w:val="32"/>
          <w:szCs w:val="32"/>
          <w:lang w:eastAsia="zh-CN"/>
        </w:rPr>
        <w:t>；复审省级文明卫生单位</w:t>
      </w:r>
      <w:r>
        <w:rPr>
          <w:rFonts w:hint="eastAsia" w:ascii="仿宋" w:hAnsi="仿宋" w:eastAsia="仿宋" w:cs="仿宋"/>
          <w:sz w:val="32"/>
          <w:szCs w:val="32"/>
          <w:lang w:val="en-US" w:eastAsia="zh-CN"/>
        </w:rPr>
        <w:t>24家。目前，全市共有</w:t>
      </w:r>
      <w:r>
        <w:rPr>
          <w:rFonts w:hint="eastAsia" w:ascii="仿宋" w:hAnsi="仿宋" w:eastAsia="仿宋" w:cs="仿宋"/>
          <w:sz w:val="32"/>
          <w:szCs w:val="32"/>
        </w:rPr>
        <w:t>湘潭市文明卫生单位</w:t>
      </w:r>
      <w:r>
        <w:rPr>
          <w:rFonts w:hint="eastAsia" w:ascii="仿宋" w:hAnsi="仿宋" w:eastAsia="仿宋" w:cs="仿宋"/>
          <w:sz w:val="32"/>
          <w:szCs w:val="32"/>
          <w:lang w:val="en-US" w:eastAsia="zh-CN"/>
        </w:rPr>
        <w:t>27</w:t>
      </w:r>
      <w:r>
        <w:rPr>
          <w:rFonts w:hint="eastAsia" w:ascii="仿宋" w:hAnsi="仿宋" w:eastAsia="仿宋" w:cs="仿宋"/>
          <w:sz w:val="32"/>
          <w:szCs w:val="32"/>
        </w:rPr>
        <w:t>家、省级文明卫生单位</w:t>
      </w:r>
      <w:r>
        <w:rPr>
          <w:rFonts w:hint="eastAsia" w:ascii="仿宋" w:hAnsi="仿宋" w:eastAsia="仿宋" w:cs="仿宋"/>
          <w:sz w:val="32"/>
          <w:szCs w:val="32"/>
          <w:lang w:val="en-US" w:eastAsia="zh-CN"/>
        </w:rPr>
        <w:t>80</w:t>
      </w:r>
      <w:r>
        <w:rPr>
          <w:rFonts w:hint="eastAsia" w:ascii="仿宋" w:hAnsi="仿宋" w:eastAsia="仿宋" w:cs="仿宋"/>
          <w:sz w:val="32"/>
          <w:szCs w:val="32"/>
        </w:rPr>
        <w:t>家、湘潭市无烟单位109家、湘潭市卫生村</w:t>
      </w:r>
      <w:r>
        <w:rPr>
          <w:rFonts w:hint="eastAsia" w:ascii="仿宋" w:hAnsi="仿宋" w:eastAsia="仿宋" w:cs="仿宋"/>
          <w:sz w:val="32"/>
          <w:szCs w:val="32"/>
          <w:lang w:eastAsia="zh-CN"/>
        </w:rPr>
        <w:t>（社区）</w:t>
      </w:r>
      <w:r>
        <w:rPr>
          <w:rFonts w:hint="eastAsia" w:ascii="仿宋" w:hAnsi="仿宋" w:eastAsia="仿宋" w:cs="仿宋"/>
          <w:sz w:val="32"/>
          <w:szCs w:val="32"/>
          <w:lang w:val="en-US" w:eastAsia="zh-CN"/>
        </w:rPr>
        <w:t>12</w:t>
      </w:r>
      <w:r>
        <w:rPr>
          <w:rFonts w:hint="eastAsia" w:ascii="仿宋" w:hAnsi="仿宋" w:eastAsia="仿宋" w:cs="仿宋"/>
          <w:sz w:val="32"/>
          <w:szCs w:val="32"/>
        </w:rPr>
        <w:t>个</w:t>
      </w:r>
      <w:r>
        <w:rPr>
          <w:rFonts w:hint="eastAsia" w:ascii="仿宋" w:hAnsi="仿宋" w:eastAsia="仿宋" w:cs="仿宋"/>
          <w:sz w:val="32"/>
          <w:szCs w:val="32"/>
          <w:lang w:eastAsia="zh-CN"/>
        </w:rPr>
        <w:t>、</w:t>
      </w:r>
      <w:r>
        <w:rPr>
          <w:rFonts w:hint="eastAsia" w:ascii="仿宋" w:hAnsi="仿宋" w:eastAsia="仿宋" w:cs="仿宋"/>
          <w:sz w:val="32"/>
          <w:szCs w:val="32"/>
        </w:rPr>
        <w:t>省级卫生村</w:t>
      </w:r>
      <w:r>
        <w:rPr>
          <w:rFonts w:hint="eastAsia" w:ascii="仿宋" w:hAnsi="仿宋" w:eastAsia="仿宋" w:cs="仿宋"/>
          <w:sz w:val="32"/>
          <w:szCs w:val="32"/>
          <w:lang w:val="en-US" w:eastAsia="zh-CN"/>
        </w:rPr>
        <w:t>3</w:t>
      </w:r>
      <w:r>
        <w:rPr>
          <w:rFonts w:hint="eastAsia" w:ascii="仿宋" w:hAnsi="仿宋" w:eastAsia="仿宋" w:cs="仿宋"/>
          <w:sz w:val="32"/>
          <w:szCs w:val="32"/>
        </w:rPr>
        <w:t>个、</w:t>
      </w:r>
      <w:r>
        <w:rPr>
          <w:rFonts w:hint="eastAsia" w:ascii="仿宋" w:hAnsi="仿宋" w:eastAsia="仿宋" w:cs="仿宋"/>
          <w:sz w:val="32"/>
          <w:szCs w:val="32"/>
          <w:lang w:eastAsia="zh-CN"/>
        </w:rPr>
        <w:t>湘潭市</w:t>
      </w:r>
      <w:r>
        <w:rPr>
          <w:rFonts w:hint="eastAsia" w:ascii="仿宋" w:hAnsi="仿宋" w:eastAsia="仿宋" w:cs="仿宋"/>
          <w:sz w:val="32"/>
          <w:szCs w:val="32"/>
        </w:rPr>
        <w:t>卫生镇</w:t>
      </w:r>
      <w:r>
        <w:rPr>
          <w:rFonts w:hint="eastAsia" w:ascii="仿宋" w:hAnsi="仿宋" w:eastAsia="仿宋" w:cs="仿宋"/>
          <w:sz w:val="32"/>
          <w:szCs w:val="32"/>
          <w:lang w:val="en-US" w:eastAsia="zh-CN"/>
        </w:rPr>
        <w:t>2</w:t>
      </w:r>
      <w:r>
        <w:rPr>
          <w:rFonts w:hint="eastAsia" w:ascii="仿宋" w:hAnsi="仿宋" w:eastAsia="仿宋" w:cs="仿宋"/>
          <w:sz w:val="32"/>
          <w:szCs w:val="32"/>
        </w:rPr>
        <w:t>个。全年共</w:t>
      </w:r>
      <w:r>
        <w:rPr>
          <w:rFonts w:hint="eastAsia" w:ascii="仿宋" w:hAnsi="仿宋" w:eastAsia="仿宋" w:cs="仿宋"/>
          <w:sz w:val="32"/>
          <w:szCs w:val="32"/>
          <w:lang w:eastAsia="zh-CN"/>
        </w:rPr>
        <w:t>组织</w:t>
      </w:r>
      <w:r>
        <w:rPr>
          <w:rFonts w:hint="eastAsia" w:ascii="仿宋" w:hAnsi="仿宋" w:eastAsia="仿宋" w:cs="仿宋"/>
          <w:sz w:val="32"/>
          <w:szCs w:val="32"/>
        </w:rPr>
        <w:t>开展城乡环境卫生集中整治活动500余次，整治村庄（社区）90余个、整治市场5个、参与整治人数54277人次，开展病媒生物集中消杀投放鼠药10余吨，喷洒消杀药物5000余公斤。</w:t>
      </w:r>
      <w:r>
        <w:rPr>
          <w:rStyle w:val="20"/>
          <w:rFonts w:hint="eastAsia" w:ascii="仿宋" w:hAnsi="仿宋" w:eastAsia="仿宋" w:cs="仿宋"/>
          <w:color w:val="000000"/>
          <w:kern w:val="2"/>
          <w:sz w:val="32"/>
          <w:szCs w:val="32"/>
          <w:lang w:val="en-US" w:eastAsia="zh-CN" w:bidi="ar-SA"/>
        </w:rPr>
        <w:t>全市各级各单位在省级及以上主要媒体报道相关文章12篇、其他新媒体34篇。</w:t>
      </w:r>
    </w:p>
    <w:p>
      <w:pPr>
        <w:keepNext w:val="0"/>
        <w:keepLines w:val="0"/>
        <w:pageBreakBefore w:val="0"/>
        <w:widowControl w:val="0"/>
        <w:pBdr>
          <w:bottom w:val="single" w:color="FFFFFF" w:sz="4" w:space="31"/>
        </w:pBdr>
        <w:tabs>
          <w:tab w:val="left" w:pos="1440"/>
        </w:tabs>
        <w:kinsoku/>
        <w:wordWrap/>
        <w:topLinePunct w:val="0"/>
        <w:autoSpaceDE/>
        <w:autoSpaceDN/>
        <w:bidi w:val="0"/>
        <w:adjustRightInd w:val="0"/>
        <w:snapToGrid w:val="0"/>
        <w:spacing w:line="560" w:lineRule="exact"/>
        <w:ind w:firstLine="640"/>
        <w:contextualSpacing/>
        <w:textAlignment w:val="auto"/>
        <w:rPr>
          <w:rFonts w:hint="eastAsia" w:ascii="仿宋" w:hAnsi="仿宋" w:eastAsia="仿宋" w:cs="仿宋"/>
          <w:color w:val="auto"/>
          <w:sz w:val="32"/>
          <w:szCs w:val="32"/>
          <w:lang w:val="en-US" w:eastAsia="zh-CN"/>
        </w:rPr>
      </w:pPr>
      <w:r>
        <w:rPr>
          <w:rFonts w:hint="eastAsia" w:ascii="仿宋" w:hAnsi="仿宋" w:eastAsia="仿宋" w:cs="仿宋"/>
          <w:b/>
          <w:bCs/>
          <w:sz w:val="32"/>
          <w:szCs w:val="32"/>
          <w:lang w:val="en-US" w:eastAsia="zh-CN"/>
        </w:rPr>
        <w:t>8.积极开展执法监督。</w:t>
      </w:r>
      <w:r>
        <w:rPr>
          <w:rFonts w:hint="eastAsia" w:ascii="仿宋" w:hAnsi="仿宋" w:eastAsia="仿宋" w:cs="仿宋"/>
          <w:color w:val="auto"/>
          <w:sz w:val="32"/>
          <w:szCs w:val="32"/>
          <w:lang w:val="en-US" w:eastAsia="zh-CN"/>
        </w:rPr>
        <w:t>全年共开展打击非法行医、“两非”整治、尘肺危害专项执法等10个专项行动。立案查处案件共计36起，结案36起，罚款50多万元。其中查处非法行医案件18例，移送“涉黑”犯罪案件6起，公安机关立案6起，刑拘1人。联合市公安机关查处一起“医托”非法行医典型案件，罚没收入为52716元，这是《基本医疗卫生与健康促进法》自2021年6月实施以来，湘潭地区首个立案处罚的案件。</w:t>
      </w:r>
    </w:p>
    <w:p>
      <w:pPr>
        <w:keepNext w:val="0"/>
        <w:keepLines w:val="0"/>
        <w:pageBreakBefore w:val="0"/>
        <w:widowControl w:val="0"/>
        <w:pBdr>
          <w:bottom w:val="single" w:color="FFFFFF" w:sz="4" w:space="31"/>
        </w:pBdr>
        <w:tabs>
          <w:tab w:val="left" w:pos="1440"/>
        </w:tabs>
        <w:kinsoku/>
        <w:wordWrap/>
        <w:topLinePunct w:val="0"/>
        <w:autoSpaceDE/>
        <w:autoSpaceDN/>
        <w:bidi w:val="0"/>
        <w:adjustRightInd w:val="0"/>
        <w:snapToGrid w:val="0"/>
        <w:spacing w:line="560" w:lineRule="exact"/>
        <w:ind w:firstLine="640"/>
        <w:contextualSpacing/>
        <w:textAlignment w:val="auto"/>
        <w:rPr>
          <w:rFonts w:hint="eastAsia" w:ascii="仿宋" w:hAnsi="仿宋" w:eastAsia="仿宋" w:cs="仿宋"/>
          <w:sz w:val="32"/>
          <w:szCs w:val="32"/>
          <w:lang w:val="en-US" w:eastAsia="zh-CN"/>
        </w:rPr>
      </w:pPr>
      <w:r>
        <w:rPr>
          <w:rFonts w:hint="eastAsia" w:ascii="仿宋" w:hAnsi="仿宋" w:eastAsia="仿宋" w:cs="仿宋"/>
          <w:color w:val="auto"/>
          <w:sz w:val="32"/>
          <w:szCs w:val="32"/>
          <w:lang w:val="en-US" w:eastAsia="zh-CN"/>
        </w:rPr>
        <w:t>过去的一年，是极不平凡的一年。全市卫生健康系统团结一心，真抓实干，打赢了新冠肺炎疫情防控阻击战、健康扶贫攻坚战，医改工作获湘潭表彰，平安建设（综治工作）获评全市先进单位等。各项成绩的取得，离不开市委市政府的坚强领导，离不开各级各部门的关心支持，离不开在座各位的共同努力，借此机会，特向长期支持和关心卫生健康事业的各级领导、各个部门和各位同志表示衷心感谢！</w:t>
      </w:r>
      <w:r>
        <w:rPr>
          <w:rFonts w:hint="eastAsia" w:ascii="仿宋" w:hAnsi="仿宋" w:eastAsia="仿宋" w:cs="仿宋"/>
          <w:color w:val="auto"/>
          <w:sz w:val="32"/>
          <w:szCs w:val="32"/>
          <w:highlight w:val="none"/>
          <w:lang w:val="en-US" w:eastAsia="zh-CN"/>
        </w:rPr>
        <w:t>在肯定成绩的同时，我们也要清醒认识到当前新冠肺炎疫情防控仍未取得最终胜利，境外输入病例时有发生，国内防控局势依旧复杂，疫苗接种任务非常繁重。同时，</w:t>
      </w:r>
      <w:r>
        <w:rPr>
          <w:rFonts w:hint="eastAsia" w:ascii="仿宋" w:hAnsi="仿宋" w:eastAsia="仿宋" w:cs="仿宋"/>
          <w:color w:val="auto"/>
          <w:sz w:val="32"/>
          <w:szCs w:val="32"/>
          <w:lang w:val="en-US" w:eastAsia="zh-CN"/>
        </w:rPr>
        <w:t>我市卫生健康事业发展仍存在短板和弱项，</w:t>
      </w:r>
      <w:r>
        <w:rPr>
          <w:rFonts w:hint="eastAsia" w:ascii="仿宋" w:hAnsi="仿宋" w:eastAsia="仿宋" w:cs="仿宋"/>
          <w:color w:val="auto"/>
          <w:sz w:val="32"/>
          <w:szCs w:val="32"/>
          <w:highlight w:val="none"/>
          <w:lang w:val="en-US" w:eastAsia="zh-CN"/>
        </w:rPr>
        <w:t>市直医院技术、人才有待加强，基层医疗机构服务能力还很薄弱，医共体建设尚未纵深推进。</w:t>
      </w:r>
      <w:r>
        <w:rPr>
          <w:rFonts w:hint="eastAsia" w:ascii="仿宋" w:hAnsi="仿宋" w:eastAsia="仿宋" w:cs="仿宋"/>
          <w:color w:val="auto"/>
          <w:sz w:val="32"/>
          <w:szCs w:val="32"/>
          <w:lang w:val="en-US" w:eastAsia="zh-CN"/>
        </w:rPr>
        <w:t>对此，我们必须增强责任感、紧迫感，要沉下心来把脉诊断，找到症结，对症下药，开出根治良方，持续推动全市卫生健康事业长足发展。</w:t>
      </w:r>
    </w:p>
    <w:p>
      <w:pPr>
        <w:keepNext w:val="0"/>
        <w:keepLines w:val="0"/>
        <w:pageBreakBefore w:val="0"/>
        <w:widowControl w:val="0"/>
        <w:numPr>
          <w:ilvl w:val="0"/>
          <w:numId w:val="4"/>
        </w:numPr>
        <w:pBdr>
          <w:bottom w:val="single" w:color="FFFFFF" w:sz="4" w:space="31"/>
        </w:pBdr>
        <w:tabs>
          <w:tab w:val="left" w:pos="1440"/>
        </w:tabs>
        <w:kinsoku/>
        <w:wordWrap/>
        <w:overflowPunct/>
        <w:topLinePunct w:val="0"/>
        <w:autoSpaceDE/>
        <w:autoSpaceDN/>
        <w:bidi w:val="0"/>
        <w:adjustRightInd/>
        <w:snapToGrid/>
        <w:spacing w:line="600" w:lineRule="exact"/>
        <w:ind w:left="0" w:leftChars="0" w:right="0" w:rightChars="0" w:firstLine="640"/>
        <w:textAlignment w:val="auto"/>
        <w:outlineLvl w:val="9"/>
        <w:rPr>
          <w:rFonts w:hint="eastAsia" w:ascii="仿宋" w:hAnsi="仿宋" w:eastAsia="仿宋" w:cs="仿宋"/>
          <w:sz w:val="32"/>
          <w:szCs w:val="32"/>
        </w:rPr>
      </w:pPr>
      <w:r>
        <w:rPr>
          <w:rFonts w:hint="eastAsia" w:ascii="仿宋" w:hAnsi="仿宋" w:eastAsia="仿宋" w:cs="仿宋"/>
          <w:sz w:val="32"/>
          <w:szCs w:val="32"/>
        </w:rPr>
        <w:t>部门整体支出管理及使用情况</w:t>
      </w:r>
    </w:p>
    <w:p>
      <w:pPr>
        <w:keepNext w:val="0"/>
        <w:keepLines w:val="0"/>
        <w:pageBreakBefore w:val="0"/>
        <w:widowControl w:val="0"/>
        <w:numPr>
          <w:ilvl w:val="0"/>
          <w:numId w:val="4"/>
        </w:numPr>
        <w:pBdr>
          <w:bottom w:val="single" w:color="FFFFFF" w:sz="4" w:space="31"/>
        </w:pBdr>
        <w:tabs>
          <w:tab w:val="left" w:pos="1440"/>
        </w:tabs>
        <w:kinsoku/>
        <w:wordWrap/>
        <w:overflowPunct/>
        <w:topLinePunct w:val="0"/>
        <w:autoSpaceDE/>
        <w:autoSpaceDN/>
        <w:bidi w:val="0"/>
        <w:adjustRightInd/>
        <w:snapToGrid/>
        <w:spacing w:line="600" w:lineRule="exact"/>
        <w:ind w:left="0" w:leftChars="0" w:right="0" w:rightChars="0" w:firstLine="640"/>
        <w:textAlignment w:val="auto"/>
        <w:outlineLvl w:val="9"/>
        <w:rPr>
          <w:rFonts w:hint="eastAsia" w:ascii="仿宋" w:hAnsi="仿宋" w:eastAsia="仿宋" w:cs="仿宋"/>
          <w:sz w:val="32"/>
          <w:szCs w:val="32"/>
        </w:rPr>
      </w:pPr>
      <w:r>
        <w:rPr>
          <w:rFonts w:hint="eastAsia" w:ascii="仿宋" w:hAnsi="仿宋" w:eastAsia="仿宋" w:cs="仿宋"/>
          <w:sz w:val="32"/>
          <w:szCs w:val="32"/>
        </w:rPr>
        <w:t>（一）预算情况</w:t>
      </w:r>
    </w:p>
    <w:p>
      <w:pPr>
        <w:keepNext w:val="0"/>
        <w:keepLines w:val="0"/>
        <w:pageBreakBefore w:val="0"/>
        <w:widowControl w:val="0"/>
        <w:numPr>
          <w:ilvl w:val="0"/>
          <w:numId w:val="5"/>
        </w:numPr>
        <w:pBdr>
          <w:bottom w:val="single" w:color="FFFFFF" w:sz="4" w:space="31"/>
        </w:pBdr>
        <w:tabs>
          <w:tab w:val="left" w:pos="1440"/>
        </w:tabs>
        <w:kinsoku/>
        <w:wordWrap/>
        <w:overflowPunct/>
        <w:topLinePunct w:val="0"/>
        <w:autoSpaceDE/>
        <w:autoSpaceDN/>
        <w:bidi w:val="0"/>
        <w:adjustRightInd/>
        <w:snapToGrid/>
        <w:spacing w:line="600" w:lineRule="exact"/>
        <w:ind w:right="0" w:rightChars="0"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年初预算： 20</w:t>
      </w:r>
      <w:r>
        <w:rPr>
          <w:rFonts w:hint="eastAsia" w:ascii="仿宋" w:hAnsi="仿宋" w:eastAsia="仿宋" w:cs="仿宋"/>
          <w:sz w:val="32"/>
          <w:szCs w:val="32"/>
          <w:lang w:val="en-US" w:eastAsia="zh-CN"/>
        </w:rPr>
        <w:t>21</w:t>
      </w:r>
      <w:r>
        <w:rPr>
          <w:rFonts w:hint="eastAsia" w:ascii="仿宋" w:hAnsi="仿宋" w:eastAsia="仿宋" w:cs="仿宋"/>
          <w:sz w:val="32"/>
          <w:szCs w:val="32"/>
        </w:rPr>
        <w:t>年</w:t>
      </w:r>
      <w:r>
        <w:rPr>
          <w:rFonts w:hint="eastAsia" w:ascii="仿宋" w:hAnsi="仿宋" w:eastAsia="仿宋" w:cs="仿宋"/>
          <w:sz w:val="32"/>
          <w:szCs w:val="32"/>
          <w:lang w:eastAsia="zh-CN"/>
        </w:rPr>
        <w:t>年初预算</w:t>
      </w:r>
      <w:r>
        <w:rPr>
          <w:rFonts w:hint="eastAsia" w:ascii="仿宋" w:hAnsi="仿宋" w:eastAsia="仿宋" w:cs="仿宋"/>
          <w:sz w:val="32"/>
          <w:szCs w:val="32"/>
        </w:rPr>
        <w:t>收入总计</w:t>
      </w:r>
      <w:r>
        <w:rPr>
          <w:rFonts w:hint="eastAsia" w:ascii="仿宋" w:hAnsi="仿宋" w:eastAsia="仿宋" w:cs="仿宋"/>
          <w:sz w:val="32"/>
          <w:szCs w:val="32"/>
          <w:lang w:val="en-US" w:eastAsia="zh-CN"/>
        </w:rPr>
        <w:t>1369.99</w:t>
      </w:r>
      <w:r>
        <w:rPr>
          <w:rFonts w:hint="eastAsia" w:ascii="仿宋" w:hAnsi="仿宋" w:eastAsia="仿宋" w:cs="仿宋"/>
          <w:sz w:val="32"/>
          <w:szCs w:val="32"/>
        </w:rPr>
        <w:t>万元。其中：财政拨款</w:t>
      </w:r>
      <w:r>
        <w:rPr>
          <w:rFonts w:hint="eastAsia" w:ascii="仿宋" w:hAnsi="仿宋" w:eastAsia="仿宋" w:cs="仿宋"/>
          <w:sz w:val="32"/>
          <w:szCs w:val="32"/>
          <w:lang w:val="en-US" w:eastAsia="zh-CN"/>
        </w:rPr>
        <w:t>1369.99</w:t>
      </w:r>
      <w:r>
        <w:rPr>
          <w:rFonts w:hint="eastAsia" w:ascii="仿宋" w:hAnsi="仿宋" w:eastAsia="仿宋" w:cs="仿宋"/>
          <w:sz w:val="32"/>
          <w:szCs w:val="32"/>
        </w:rPr>
        <w:t>万元。 </w:t>
      </w:r>
    </w:p>
    <w:p>
      <w:pPr>
        <w:keepNext w:val="0"/>
        <w:keepLines w:val="0"/>
        <w:pageBreakBefore w:val="0"/>
        <w:widowControl w:val="0"/>
        <w:numPr>
          <w:ilvl w:val="0"/>
          <w:numId w:val="5"/>
        </w:numPr>
        <w:pBdr>
          <w:bottom w:val="single" w:color="FFFFFF" w:sz="4" w:space="31"/>
        </w:pBdr>
        <w:tabs>
          <w:tab w:val="left" w:pos="1440"/>
        </w:tabs>
        <w:kinsoku/>
        <w:wordWrap/>
        <w:overflowPunct/>
        <w:topLinePunct w:val="0"/>
        <w:autoSpaceDE/>
        <w:autoSpaceDN/>
        <w:bidi w:val="0"/>
        <w:adjustRightInd/>
        <w:snapToGrid/>
        <w:spacing w:line="600" w:lineRule="exact"/>
        <w:ind w:right="0" w:rightChars="0"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20</w:t>
      </w:r>
      <w:r>
        <w:rPr>
          <w:rFonts w:hint="eastAsia" w:ascii="仿宋" w:hAnsi="仿宋" w:eastAsia="仿宋" w:cs="仿宋"/>
          <w:sz w:val="32"/>
          <w:szCs w:val="32"/>
          <w:lang w:val="en-US" w:eastAsia="zh-CN"/>
        </w:rPr>
        <w:t>21</w:t>
      </w:r>
      <w:r>
        <w:rPr>
          <w:rFonts w:hint="eastAsia" w:ascii="仿宋" w:hAnsi="仿宋" w:eastAsia="仿宋" w:cs="仿宋"/>
          <w:sz w:val="32"/>
          <w:szCs w:val="32"/>
        </w:rPr>
        <w:t>年</w:t>
      </w:r>
      <w:r>
        <w:rPr>
          <w:rFonts w:hint="eastAsia" w:ascii="仿宋" w:hAnsi="仿宋" w:eastAsia="仿宋" w:cs="仿宋"/>
          <w:sz w:val="32"/>
          <w:szCs w:val="32"/>
          <w:lang w:eastAsia="zh-CN"/>
        </w:rPr>
        <w:t>年初</w:t>
      </w:r>
      <w:r>
        <w:rPr>
          <w:rFonts w:hint="eastAsia" w:ascii="仿宋" w:hAnsi="仿宋" w:eastAsia="仿宋" w:cs="仿宋"/>
          <w:sz w:val="32"/>
          <w:szCs w:val="32"/>
        </w:rPr>
        <w:t>公共预算财政拨款支出</w:t>
      </w:r>
      <w:r>
        <w:rPr>
          <w:rFonts w:hint="eastAsia" w:ascii="仿宋" w:hAnsi="仿宋" w:eastAsia="仿宋" w:cs="仿宋"/>
          <w:sz w:val="32"/>
          <w:szCs w:val="32"/>
          <w:lang w:val="en-US" w:eastAsia="zh-CN"/>
        </w:rPr>
        <w:t>1369.99</w:t>
      </w:r>
      <w:r>
        <w:rPr>
          <w:rFonts w:hint="eastAsia" w:ascii="仿宋" w:hAnsi="仿宋" w:eastAsia="仿宋" w:cs="仿宋"/>
          <w:sz w:val="32"/>
          <w:szCs w:val="32"/>
        </w:rPr>
        <w:t>万元，其中：基本支出</w:t>
      </w:r>
      <w:r>
        <w:rPr>
          <w:rFonts w:hint="eastAsia" w:ascii="仿宋" w:hAnsi="仿宋" w:eastAsia="仿宋" w:cs="仿宋"/>
          <w:sz w:val="32"/>
          <w:szCs w:val="32"/>
          <w:lang w:val="en-US" w:eastAsia="zh-CN"/>
        </w:rPr>
        <w:t>780.89</w:t>
      </w:r>
      <w:r>
        <w:rPr>
          <w:rFonts w:hint="eastAsia" w:ascii="仿宋" w:hAnsi="仿宋" w:eastAsia="仿宋" w:cs="仿宋"/>
          <w:sz w:val="32"/>
          <w:szCs w:val="32"/>
        </w:rPr>
        <w:t>万元，系保障我单位机构正常运转、完成日常工作任务而发生的各项支出。包括用于在职基本工资、津贴补贴等人员经费以及办公费、印刷费、水电费、差旅费、办公设备购置等日常公用经费和离退休人员活动经费；项目支出</w:t>
      </w:r>
      <w:r>
        <w:rPr>
          <w:rFonts w:hint="eastAsia" w:ascii="仿宋" w:hAnsi="仿宋" w:eastAsia="仿宋" w:cs="仿宋"/>
          <w:sz w:val="32"/>
          <w:szCs w:val="32"/>
          <w:lang w:val="en-US" w:eastAsia="zh-CN"/>
        </w:rPr>
        <w:t>589.10</w:t>
      </w:r>
      <w:r>
        <w:rPr>
          <w:rFonts w:hint="eastAsia" w:ascii="仿宋" w:hAnsi="仿宋" w:eastAsia="仿宋" w:cs="仿宋"/>
          <w:sz w:val="32"/>
          <w:szCs w:val="32"/>
        </w:rPr>
        <w:t>万元。具体明细见下</w:t>
      </w:r>
    </w:p>
    <w:tbl>
      <w:tblPr>
        <w:tblStyle w:val="9"/>
        <w:tblW w:w="808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96"/>
        <w:gridCol w:w="642"/>
        <w:gridCol w:w="642"/>
        <w:gridCol w:w="3471"/>
        <w:gridCol w:w="25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8085" w:type="dxa"/>
            <w:gridSpan w:val="5"/>
            <w:tcBorders>
              <w:top w:val="nil"/>
              <w:left w:val="nil"/>
              <w:bottom w:val="nil"/>
              <w:right w:val="nil"/>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2021年专项支出明细表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0" w:type="auto"/>
            <w:gridSpan w:val="4"/>
            <w:tcBorders>
              <w:top w:val="nil"/>
              <w:left w:val="nil"/>
              <w:bottom w:val="single" w:color="000000" w:sz="4" w:space="0"/>
              <w:right w:val="nil"/>
            </w:tcBorders>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单位名称：湘乡市卫生健康局机关</w:t>
            </w:r>
          </w:p>
        </w:tc>
        <w:tc>
          <w:tcPr>
            <w:tcW w:w="0" w:type="auto"/>
            <w:tcBorders>
              <w:top w:val="nil"/>
              <w:left w:val="nil"/>
              <w:bottom w:val="nil"/>
              <w:right w:val="nil"/>
            </w:tcBorders>
            <w:noWrap/>
            <w:vAlign w:val="bottom"/>
          </w:tcPr>
          <w:p>
            <w:pPr>
              <w:keepNext w:val="0"/>
              <w:keepLines w:val="0"/>
              <w:widowControl/>
              <w:suppressLineNumbers w:val="0"/>
              <w:jc w:val="right"/>
              <w:textAlignment w:val="bottom"/>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金额单位：元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2025" w:type="dxa"/>
            <w:gridSpan w:val="3"/>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功能科目</w:t>
            </w:r>
          </w:p>
        </w:tc>
        <w:tc>
          <w:tcPr>
            <w:tcW w:w="4080"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项目名称</w:t>
            </w:r>
          </w:p>
        </w:tc>
        <w:tc>
          <w:tcPr>
            <w:tcW w:w="1980"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2025"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b/>
                <w:bCs/>
                <w:i w:val="0"/>
                <w:iCs w:val="0"/>
                <w:color w:val="000000"/>
                <w:sz w:val="20"/>
                <w:szCs w:val="20"/>
                <w:u w:val="none"/>
              </w:rPr>
            </w:pPr>
          </w:p>
        </w:tc>
        <w:tc>
          <w:tcPr>
            <w:tcW w:w="4080"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b/>
                <w:bCs/>
                <w:i w:val="0"/>
                <w:iCs w:val="0"/>
                <w:color w:val="000000"/>
                <w:sz w:val="20"/>
                <w:szCs w:val="20"/>
                <w:u w:val="none"/>
              </w:rPr>
            </w:pPr>
          </w:p>
        </w:tc>
        <w:tc>
          <w:tcPr>
            <w:tcW w:w="1980"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4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9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5,891,000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02</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w:t>
            </w:r>
          </w:p>
        </w:tc>
        <w:tc>
          <w:tcPr>
            <w:tcW w:w="4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公立医院改革</w:t>
            </w:r>
          </w:p>
        </w:tc>
        <w:tc>
          <w:tcPr>
            <w:tcW w:w="19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200,000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03</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02</w:t>
            </w:r>
          </w:p>
        </w:tc>
        <w:tc>
          <w:tcPr>
            <w:tcW w:w="4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固体医疗废物处置</w:t>
            </w:r>
          </w:p>
        </w:tc>
        <w:tc>
          <w:tcPr>
            <w:tcW w:w="19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1,110,000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w:t>
            </w:r>
          </w:p>
        </w:tc>
        <w:tc>
          <w:tcPr>
            <w:tcW w:w="4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老年人意外险</w:t>
            </w:r>
          </w:p>
        </w:tc>
        <w:tc>
          <w:tcPr>
            <w:tcW w:w="19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140,000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4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灭蟑螂复查</w:t>
            </w:r>
          </w:p>
        </w:tc>
        <w:tc>
          <w:tcPr>
            <w:tcW w:w="19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200,000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04</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4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职业病防治监测</w:t>
            </w:r>
          </w:p>
        </w:tc>
        <w:tc>
          <w:tcPr>
            <w:tcW w:w="19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07</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4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乡镇卫生健康专项经费投入</w:t>
            </w:r>
          </w:p>
        </w:tc>
        <w:tc>
          <w:tcPr>
            <w:tcW w:w="19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200,000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w:t>
            </w:r>
          </w:p>
        </w:tc>
        <w:tc>
          <w:tcPr>
            <w:tcW w:w="4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卫技人员人才招聘专项经费</w:t>
            </w:r>
          </w:p>
        </w:tc>
        <w:tc>
          <w:tcPr>
            <w:tcW w:w="19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350,000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02</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w:t>
            </w:r>
          </w:p>
        </w:tc>
        <w:tc>
          <w:tcPr>
            <w:tcW w:w="4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白水塘传染病工作经费</w:t>
            </w:r>
          </w:p>
        </w:tc>
        <w:tc>
          <w:tcPr>
            <w:tcW w:w="19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100,000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4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贫困危重孕产妇救助经费</w:t>
            </w:r>
          </w:p>
        </w:tc>
        <w:tc>
          <w:tcPr>
            <w:tcW w:w="19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03</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4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行政村卫生室运转经费</w:t>
            </w:r>
          </w:p>
        </w:tc>
        <w:tc>
          <w:tcPr>
            <w:tcW w:w="19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891,000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03</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4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基层人员培训费</w:t>
            </w:r>
          </w:p>
        </w:tc>
        <w:tc>
          <w:tcPr>
            <w:tcW w:w="19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200,000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4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无偿献血宣传费</w:t>
            </w:r>
          </w:p>
        </w:tc>
        <w:tc>
          <w:tcPr>
            <w:tcW w:w="19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100,000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4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爱卫宣传月活动专项经费</w:t>
            </w:r>
          </w:p>
        </w:tc>
        <w:tc>
          <w:tcPr>
            <w:tcW w:w="19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4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爱卫病媒生物监测经费</w:t>
            </w:r>
          </w:p>
        </w:tc>
        <w:tc>
          <w:tcPr>
            <w:tcW w:w="19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4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除四害工作经费</w:t>
            </w:r>
          </w:p>
        </w:tc>
        <w:tc>
          <w:tcPr>
            <w:tcW w:w="19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350,000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02</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w:t>
            </w:r>
          </w:p>
        </w:tc>
        <w:tc>
          <w:tcPr>
            <w:tcW w:w="4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公立医院财务审计</w:t>
            </w:r>
          </w:p>
        </w:tc>
        <w:tc>
          <w:tcPr>
            <w:tcW w:w="19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150,000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w:t>
            </w:r>
          </w:p>
        </w:tc>
        <w:tc>
          <w:tcPr>
            <w:tcW w:w="4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卫生健康宣教费用</w:t>
            </w:r>
          </w:p>
        </w:tc>
        <w:tc>
          <w:tcPr>
            <w:tcW w:w="19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300,000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02</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02</w:t>
            </w:r>
          </w:p>
        </w:tc>
        <w:tc>
          <w:tcPr>
            <w:tcW w:w="4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中医发展经费</w:t>
            </w:r>
          </w:p>
        </w:tc>
        <w:tc>
          <w:tcPr>
            <w:tcW w:w="19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1,400,000 </w:t>
            </w:r>
          </w:p>
        </w:tc>
      </w:tr>
    </w:tbl>
    <w:p>
      <w:pPr>
        <w:ind w:firstLine="320" w:firstLineChars="100"/>
        <w:rPr>
          <w:rFonts w:hint="eastAsia" w:ascii="仿宋" w:hAnsi="仿宋" w:eastAsia="仿宋" w:cs="仿宋"/>
          <w:sz w:val="32"/>
          <w:szCs w:val="32"/>
        </w:rPr>
      </w:pPr>
      <w:r>
        <w:rPr>
          <w:rFonts w:hint="eastAsia" w:ascii="仿宋" w:hAnsi="仿宋" w:eastAsia="仿宋" w:cs="仿宋"/>
          <w:sz w:val="32"/>
          <w:szCs w:val="32"/>
        </w:rPr>
        <w:t>  20</w:t>
      </w:r>
      <w:r>
        <w:rPr>
          <w:rFonts w:hint="eastAsia" w:ascii="仿宋" w:hAnsi="仿宋" w:eastAsia="仿宋" w:cs="仿宋"/>
          <w:sz w:val="32"/>
          <w:szCs w:val="32"/>
          <w:lang w:val="en-US" w:eastAsia="zh-CN"/>
        </w:rPr>
        <w:t>21</w:t>
      </w:r>
      <w:r>
        <w:rPr>
          <w:rFonts w:hint="eastAsia" w:ascii="仿宋" w:hAnsi="仿宋" w:eastAsia="仿宋" w:cs="仿宋"/>
          <w:sz w:val="32"/>
          <w:szCs w:val="32"/>
        </w:rPr>
        <w:t>年“三公”经费预算合计</w:t>
      </w:r>
      <w:r>
        <w:rPr>
          <w:rFonts w:hint="eastAsia" w:ascii="仿宋" w:hAnsi="仿宋" w:eastAsia="仿宋" w:cs="仿宋"/>
          <w:sz w:val="32"/>
          <w:szCs w:val="32"/>
          <w:lang w:val="en-US" w:eastAsia="zh-CN"/>
        </w:rPr>
        <w:t>13.8</w:t>
      </w:r>
      <w:r>
        <w:rPr>
          <w:rFonts w:hint="eastAsia" w:ascii="仿宋" w:hAnsi="仿宋" w:eastAsia="仿宋" w:cs="仿宋"/>
          <w:sz w:val="32"/>
          <w:szCs w:val="32"/>
        </w:rPr>
        <w:t>万元，分项为：公务接待费支出</w:t>
      </w:r>
      <w:r>
        <w:rPr>
          <w:rFonts w:hint="eastAsia" w:ascii="仿宋" w:hAnsi="仿宋" w:eastAsia="仿宋" w:cs="仿宋"/>
          <w:sz w:val="32"/>
          <w:szCs w:val="32"/>
          <w:lang w:val="en-US" w:eastAsia="zh-CN"/>
        </w:rPr>
        <w:t>7</w:t>
      </w:r>
      <w:r>
        <w:rPr>
          <w:rFonts w:hint="eastAsia" w:ascii="仿宋" w:hAnsi="仿宋" w:eastAsia="仿宋" w:cs="仿宋"/>
          <w:sz w:val="32"/>
          <w:szCs w:val="32"/>
        </w:rPr>
        <w:t>万元；公务用车购置及运行维护费支出</w:t>
      </w:r>
      <w:r>
        <w:rPr>
          <w:rFonts w:hint="eastAsia" w:ascii="仿宋" w:hAnsi="仿宋" w:eastAsia="仿宋" w:cs="仿宋"/>
          <w:sz w:val="32"/>
          <w:szCs w:val="32"/>
          <w:lang w:val="en-US" w:eastAsia="zh-CN"/>
        </w:rPr>
        <w:t>4.8</w:t>
      </w:r>
      <w:r>
        <w:rPr>
          <w:rFonts w:hint="eastAsia" w:ascii="仿宋" w:hAnsi="仿宋" w:eastAsia="仿宋" w:cs="仿宋"/>
          <w:sz w:val="32"/>
          <w:szCs w:val="32"/>
        </w:rPr>
        <w:t>万元。会议费支出</w:t>
      </w:r>
      <w:r>
        <w:rPr>
          <w:rFonts w:hint="eastAsia" w:ascii="仿宋" w:hAnsi="仿宋" w:eastAsia="仿宋" w:cs="仿宋"/>
          <w:sz w:val="32"/>
          <w:szCs w:val="32"/>
          <w:lang w:val="en-US" w:eastAsia="zh-CN"/>
        </w:rPr>
        <w:t>2</w:t>
      </w:r>
      <w:r>
        <w:rPr>
          <w:rFonts w:hint="eastAsia" w:ascii="仿宋" w:hAnsi="仿宋" w:eastAsia="仿宋" w:cs="仿宋"/>
          <w:sz w:val="32"/>
          <w:szCs w:val="32"/>
        </w:rPr>
        <w:t>万元；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2、年中追加和调减预算情况</w:t>
      </w:r>
    </w:p>
    <w:p>
      <w:pPr>
        <w:ind w:firstLine="640" w:firstLineChars="2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rPr>
        <w:t>追加卫</w:t>
      </w:r>
      <w:r>
        <w:rPr>
          <w:rFonts w:hint="eastAsia" w:ascii="仿宋" w:hAnsi="仿宋" w:eastAsia="仿宋" w:cs="仿宋"/>
          <w:b w:val="0"/>
          <w:bCs w:val="0"/>
          <w:sz w:val="32"/>
          <w:szCs w:val="32"/>
          <w:lang w:eastAsia="zh-CN"/>
        </w:rPr>
        <w:t>健</w:t>
      </w:r>
      <w:r>
        <w:rPr>
          <w:rFonts w:hint="eastAsia" w:ascii="仿宋" w:hAnsi="仿宋" w:eastAsia="仿宋" w:cs="仿宋"/>
          <w:b w:val="0"/>
          <w:bCs w:val="0"/>
          <w:sz w:val="32"/>
          <w:szCs w:val="32"/>
        </w:rPr>
        <w:t>局机关经费</w:t>
      </w:r>
      <w:r>
        <w:rPr>
          <w:rFonts w:hint="eastAsia" w:ascii="仿宋" w:hAnsi="仿宋" w:eastAsia="仿宋" w:cs="仿宋"/>
          <w:b w:val="0"/>
          <w:bCs w:val="0"/>
          <w:sz w:val="32"/>
          <w:szCs w:val="32"/>
          <w:lang w:eastAsia="zh-CN"/>
        </w:rPr>
        <w:t>主要</w:t>
      </w:r>
      <w:r>
        <w:rPr>
          <w:rFonts w:hint="eastAsia" w:ascii="仿宋" w:hAnsi="仿宋" w:eastAsia="仿宋" w:cs="仿宋"/>
          <w:b w:val="0"/>
          <w:bCs w:val="0"/>
          <w:sz w:val="32"/>
          <w:szCs w:val="32"/>
        </w:rPr>
        <w:t>如下：</w:t>
      </w:r>
      <w:r>
        <w:rPr>
          <w:rFonts w:hint="eastAsia" w:ascii="仿宋" w:hAnsi="仿宋" w:eastAsia="仿宋" w:cs="仿宋"/>
          <w:b w:val="0"/>
          <w:bCs w:val="0"/>
          <w:sz w:val="32"/>
          <w:szCs w:val="32"/>
          <w:lang w:eastAsia="zh-CN"/>
        </w:rPr>
        <w:t>人员异动追加</w:t>
      </w:r>
      <w:r>
        <w:rPr>
          <w:rFonts w:hint="eastAsia" w:ascii="仿宋" w:hAnsi="仿宋" w:eastAsia="仿宋" w:cs="仿宋"/>
          <w:b w:val="0"/>
          <w:bCs w:val="0"/>
          <w:sz w:val="32"/>
          <w:szCs w:val="32"/>
          <w:lang w:val="en-US" w:eastAsia="zh-CN"/>
        </w:rPr>
        <w:t>376.32万元，追加公立医院改革经费383万元，追加计生手术经费150万，追加基本公共卫生服务疫情防控经费521.83万，费335万，追加抗疫经费550万元等，</w:t>
      </w:r>
      <w:r>
        <w:rPr>
          <w:rFonts w:hint="eastAsia" w:ascii="仿宋" w:hAnsi="仿宋" w:eastAsia="仿宋" w:cs="仿宋"/>
          <w:b w:val="0"/>
          <w:bCs w:val="0"/>
          <w:sz w:val="32"/>
          <w:szCs w:val="32"/>
        </w:rPr>
        <w:t>共调增</w:t>
      </w:r>
      <w:r>
        <w:rPr>
          <w:rFonts w:hint="eastAsia" w:ascii="仿宋" w:hAnsi="仿宋" w:eastAsia="仿宋" w:cs="仿宋"/>
          <w:b w:val="0"/>
          <w:bCs w:val="0"/>
          <w:sz w:val="32"/>
          <w:szCs w:val="32"/>
          <w:lang w:val="en-US" w:eastAsia="zh-CN"/>
        </w:rPr>
        <w:t>1835.17</w:t>
      </w:r>
      <w:r>
        <w:rPr>
          <w:rFonts w:hint="eastAsia" w:ascii="仿宋" w:hAnsi="仿宋" w:eastAsia="仿宋" w:cs="仿宋"/>
          <w:b w:val="0"/>
          <w:bCs w:val="0"/>
          <w:sz w:val="32"/>
          <w:szCs w:val="32"/>
        </w:rPr>
        <w:t>万元</w:t>
      </w:r>
      <w:r>
        <w:rPr>
          <w:rFonts w:hint="eastAsia" w:ascii="仿宋" w:hAnsi="仿宋" w:eastAsia="仿宋" w:cs="仿宋"/>
          <w:b w:val="0"/>
          <w:bCs w:val="0"/>
          <w:sz w:val="32"/>
          <w:szCs w:val="32"/>
          <w:lang w:val="en-US" w:eastAsia="zh-CN"/>
        </w:rPr>
        <w:t>.</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 xml:space="preserve"> 3、全年总预算情况</w:t>
      </w:r>
      <w:r>
        <w:rPr>
          <w:rFonts w:hint="eastAsia" w:ascii="仿宋" w:hAnsi="仿宋" w:eastAsia="仿宋" w:cs="仿宋"/>
          <w:sz w:val="32"/>
          <w:szCs w:val="32"/>
          <w:lang w:eastAsia="zh-CN"/>
        </w:rPr>
        <w:t>（以</w:t>
      </w:r>
      <w:r>
        <w:rPr>
          <w:rFonts w:hint="eastAsia" w:ascii="仿宋" w:hAnsi="仿宋" w:eastAsia="仿宋" w:cs="仿宋"/>
          <w:sz w:val="32"/>
          <w:szCs w:val="32"/>
          <w:lang w:val="en-US" w:eastAsia="zh-CN"/>
        </w:rPr>
        <w:t>12月份会计报表为准）</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年初结转及结余</w:t>
      </w:r>
      <w:r>
        <w:rPr>
          <w:rFonts w:hint="eastAsia" w:ascii="仿宋" w:hAnsi="仿宋" w:eastAsia="仿宋" w:cs="仿宋"/>
          <w:sz w:val="32"/>
          <w:szCs w:val="32"/>
          <w:lang w:val="en-US" w:eastAsia="zh-CN"/>
        </w:rPr>
        <w:t>488.04</w:t>
      </w:r>
      <w:r>
        <w:rPr>
          <w:rFonts w:hint="eastAsia" w:ascii="仿宋" w:hAnsi="仿宋" w:eastAsia="仿宋" w:cs="仿宋"/>
          <w:sz w:val="32"/>
          <w:szCs w:val="32"/>
        </w:rPr>
        <w:t>万元，本年预算收入</w:t>
      </w:r>
      <w:r>
        <w:rPr>
          <w:rFonts w:hint="eastAsia" w:ascii="仿宋" w:hAnsi="仿宋" w:eastAsia="仿宋" w:cs="仿宋"/>
          <w:sz w:val="32"/>
          <w:szCs w:val="32"/>
          <w:lang w:val="en-US" w:eastAsia="zh-CN"/>
        </w:rPr>
        <w:t>1135.25万元</w:t>
      </w:r>
      <w:r>
        <w:rPr>
          <w:rFonts w:hint="eastAsia" w:ascii="仿宋" w:hAnsi="仿宋" w:eastAsia="仿宋" w:cs="仿宋"/>
          <w:sz w:val="32"/>
          <w:szCs w:val="32"/>
        </w:rPr>
        <w:t>，预算支出</w:t>
      </w:r>
      <w:r>
        <w:rPr>
          <w:rFonts w:hint="eastAsia" w:ascii="仿宋" w:hAnsi="仿宋" w:eastAsia="仿宋" w:cs="仿宋"/>
          <w:sz w:val="32"/>
          <w:szCs w:val="32"/>
          <w:lang w:val="en-US" w:eastAsia="zh-CN"/>
        </w:rPr>
        <w:t>1623.29</w:t>
      </w:r>
      <w:r>
        <w:rPr>
          <w:rFonts w:hint="eastAsia" w:ascii="仿宋" w:hAnsi="仿宋" w:eastAsia="仿宋" w:cs="仿宋"/>
          <w:sz w:val="32"/>
          <w:szCs w:val="32"/>
        </w:rPr>
        <w:t>万元。</w:t>
      </w:r>
      <w:r>
        <w:rPr>
          <w:rFonts w:hint="eastAsia" w:ascii="仿宋" w:hAnsi="仿宋" w:eastAsia="仿宋" w:cs="仿宋"/>
          <w:sz w:val="32"/>
          <w:szCs w:val="32"/>
          <w:lang w:eastAsia="zh-CN"/>
        </w:rPr>
        <w:t>年末结转结余</w:t>
      </w:r>
      <w:r>
        <w:rPr>
          <w:rFonts w:hint="eastAsia" w:ascii="仿宋" w:hAnsi="仿宋" w:eastAsia="仿宋" w:cs="仿宋"/>
          <w:sz w:val="32"/>
          <w:szCs w:val="32"/>
          <w:lang w:val="en-US" w:eastAsia="zh-CN"/>
        </w:rPr>
        <w:t>562.16万元。</w:t>
      </w:r>
    </w:p>
    <w:p>
      <w:pPr>
        <w:pStyle w:val="8"/>
        <w:widowControl/>
        <w:jc w:val="both"/>
        <w:rPr>
          <w:rFonts w:hint="eastAsia" w:ascii="仿宋" w:hAnsi="仿宋" w:eastAsia="仿宋" w:cs="仿宋"/>
          <w:color w:val="auto"/>
          <w:kern w:val="2"/>
          <w:sz w:val="32"/>
          <w:szCs w:val="32"/>
        </w:rPr>
      </w:pPr>
      <w:r>
        <w:rPr>
          <w:rFonts w:hint="eastAsia" w:ascii="仿宋" w:hAnsi="仿宋" w:eastAsia="仿宋" w:cs="仿宋"/>
          <w:color w:val="auto"/>
          <w:kern w:val="2"/>
          <w:sz w:val="32"/>
          <w:szCs w:val="32"/>
        </w:rPr>
        <w:t xml:space="preserve">    （二）预算执行情况</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20</w:t>
      </w:r>
      <w:r>
        <w:rPr>
          <w:rFonts w:hint="eastAsia" w:ascii="仿宋" w:hAnsi="仿宋" w:eastAsia="仿宋" w:cs="仿宋"/>
          <w:sz w:val="32"/>
          <w:szCs w:val="32"/>
          <w:lang w:val="en-US" w:eastAsia="zh-CN"/>
        </w:rPr>
        <w:t>21</w:t>
      </w:r>
      <w:r>
        <w:rPr>
          <w:rFonts w:hint="eastAsia" w:ascii="仿宋" w:hAnsi="仿宋" w:eastAsia="仿宋" w:cs="仿宋"/>
          <w:sz w:val="32"/>
          <w:szCs w:val="32"/>
        </w:rPr>
        <w:t>年我局本年实际财政收入</w:t>
      </w:r>
      <w:r>
        <w:rPr>
          <w:rFonts w:hint="eastAsia" w:ascii="仿宋" w:hAnsi="仿宋" w:eastAsia="仿宋" w:cs="仿宋"/>
          <w:sz w:val="32"/>
          <w:szCs w:val="32"/>
          <w:lang w:val="en-US" w:eastAsia="zh-CN"/>
        </w:rPr>
        <w:t>1135.25</w:t>
      </w:r>
      <w:r>
        <w:rPr>
          <w:rFonts w:hint="eastAsia" w:ascii="仿宋" w:hAnsi="仿宋" w:eastAsia="仿宋" w:cs="仿宋"/>
          <w:sz w:val="32"/>
          <w:szCs w:val="32"/>
        </w:rPr>
        <w:t>万元，</w:t>
      </w:r>
      <w:r>
        <w:rPr>
          <w:rFonts w:hint="eastAsia" w:ascii="仿宋" w:hAnsi="仿宋" w:eastAsia="仿宋" w:cs="仿宋"/>
          <w:sz w:val="32"/>
          <w:szCs w:val="32"/>
          <w:lang w:eastAsia="zh-CN"/>
        </w:rPr>
        <w:t>比年初少</w:t>
      </w:r>
      <w:r>
        <w:rPr>
          <w:rFonts w:hint="eastAsia" w:ascii="仿宋" w:hAnsi="仿宋" w:eastAsia="仿宋" w:cs="仿宋"/>
          <w:sz w:val="32"/>
          <w:szCs w:val="32"/>
          <w:lang w:val="en-US" w:eastAsia="zh-CN"/>
        </w:rPr>
        <w:t>234.74万元，原因是财政资金紧张，没有及时列支。</w:t>
      </w:r>
      <w:r>
        <w:rPr>
          <w:rFonts w:hint="eastAsia" w:ascii="仿宋" w:hAnsi="仿宋" w:eastAsia="仿宋" w:cs="仿宋"/>
          <w:sz w:val="32"/>
          <w:szCs w:val="32"/>
        </w:rPr>
        <w:t>我局实际支出</w:t>
      </w:r>
      <w:r>
        <w:rPr>
          <w:rFonts w:hint="eastAsia" w:ascii="仿宋" w:hAnsi="仿宋" w:eastAsia="仿宋" w:cs="仿宋"/>
          <w:sz w:val="32"/>
          <w:szCs w:val="32"/>
          <w:lang w:val="en-US" w:eastAsia="zh-CN"/>
        </w:rPr>
        <w:t>1623.29</w:t>
      </w:r>
      <w:r>
        <w:rPr>
          <w:rFonts w:hint="eastAsia" w:ascii="仿宋" w:hAnsi="仿宋" w:eastAsia="仿宋" w:cs="仿宋"/>
          <w:sz w:val="32"/>
          <w:szCs w:val="32"/>
        </w:rPr>
        <w:t>万元。</w:t>
      </w:r>
    </w:p>
    <w:p>
      <w:pPr>
        <w:pStyle w:val="8"/>
        <w:widowControl/>
        <w:ind w:left="12" w:leftChars="6" w:firstLine="598" w:firstLineChars="187"/>
        <w:jc w:val="both"/>
        <w:rPr>
          <w:rFonts w:hint="eastAsia" w:ascii="仿宋" w:hAnsi="仿宋" w:eastAsia="仿宋" w:cs="仿宋"/>
          <w:color w:val="auto"/>
          <w:kern w:val="2"/>
          <w:sz w:val="32"/>
          <w:szCs w:val="32"/>
        </w:rPr>
      </w:pPr>
      <w:r>
        <w:rPr>
          <w:rFonts w:hint="eastAsia" w:ascii="仿宋" w:hAnsi="仿宋" w:eastAsia="仿宋" w:cs="仿宋"/>
          <w:color w:val="auto"/>
          <w:kern w:val="2"/>
          <w:sz w:val="32"/>
          <w:szCs w:val="32"/>
        </w:rPr>
        <w:t xml:space="preserve"> 1、基本支出</w:t>
      </w:r>
    </w:p>
    <w:p>
      <w:pPr>
        <w:pStyle w:val="8"/>
        <w:widowControl/>
        <w:ind w:firstLine="729" w:firstLineChars="228"/>
        <w:jc w:val="both"/>
        <w:rPr>
          <w:rFonts w:hint="eastAsia" w:ascii="仿宋" w:hAnsi="仿宋" w:eastAsia="仿宋" w:cs="仿宋"/>
          <w:color w:val="auto"/>
          <w:kern w:val="2"/>
          <w:sz w:val="32"/>
          <w:szCs w:val="32"/>
        </w:rPr>
      </w:pPr>
      <w:r>
        <w:rPr>
          <w:rFonts w:hint="eastAsia" w:ascii="仿宋" w:hAnsi="仿宋" w:eastAsia="仿宋" w:cs="仿宋"/>
          <w:color w:val="auto"/>
          <w:kern w:val="2"/>
          <w:sz w:val="32"/>
          <w:szCs w:val="32"/>
        </w:rPr>
        <w:t>我局基本支出</w:t>
      </w:r>
      <w:r>
        <w:rPr>
          <w:rFonts w:hint="eastAsia" w:ascii="仿宋" w:hAnsi="仿宋" w:eastAsia="仿宋" w:cs="仿宋"/>
          <w:color w:val="auto"/>
          <w:sz w:val="32"/>
          <w:szCs w:val="32"/>
          <w:lang w:val="en-US" w:eastAsia="zh-CN"/>
        </w:rPr>
        <w:t>1623.29</w:t>
      </w:r>
      <w:r>
        <w:rPr>
          <w:rFonts w:hint="eastAsia" w:ascii="仿宋" w:hAnsi="仿宋" w:eastAsia="仿宋" w:cs="仿宋"/>
          <w:color w:val="auto"/>
          <w:sz w:val="32"/>
          <w:szCs w:val="32"/>
        </w:rPr>
        <w:t>万</w:t>
      </w:r>
      <w:r>
        <w:rPr>
          <w:rFonts w:hint="eastAsia" w:ascii="仿宋" w:hAnsi="仿宋" w:eastAsia="仿宋" w:cs="仿宋"/>
          <w:color w:val="auto"/>
          <w:kern w:val="2"/>
          <w:sz w:val="32"/>
          <w:szCs w:val="32"/>
        </w:rPr>
        <w:t>元，其中工资福利支出</w:t>
      </w:r>
      <w:r>
        <w:rPr>
          <w:rFonts w:hint="eastAsia" w:ascii="仿宋" w:hAnsi="仿宋" w:eastAsia="仿宋" w:cs="仿宋"/>
          <w:color w:val="auto"/>
          <w:kern w:val="2"/>
          <w:sz w:val="32"/>
          <w:szCs w:val="32"/>
          <w:lang w:val="en-US" w:eastAsia="zh-CN"/>
        </w:rPr>
        <w:t>744.01</w:t>
      </w:r>
      <w:r>
        <w:rPr>
          <w:rFonts w:hint="eastAsia" w:ascii="仿宋" w:hAnsi="仿宋" w:eastAsia="仿宋" w:cs="仿宋"/>
          <w:color w:val="auto"/>
          <w:kern w:val="2"/>
          <w:sz w:val="32"/>
          <w:szCs w:val="32"/>
        </w:rPr>
        <w:t>万元、商品和服务支出</w:t>
      </w:r>
      <w:r>
        <w:rPr>
          <w:rFonts w:hint="eastAsia" w:ascii="仿宋" w:hAnsi="仿宋" w:eastAsia="仿宋" w:cs="仿宋"/>
          <w:color w:val="auto"/>
          <w:kern w:val="2"/>
          <w:sz w:val="32"/>
          <w:szCs w:val="32"/>
          <w:lang w:val="en-US" w:eastAsia="zh-CN"/>
        </w:rPr>
        <w:t>662.01</w:t>
      </w:r>
      <w:r>
        <w:rPr>
          <w:rFonts w:hint="eastAsia" w:ascii="仿宋" w:hAnsi="仿宋" w:eastAsia="仿宋" w:cs="仿宋"/>
          <w:color w:val="auto"/>
          <w:kern w:val="2"/>
          <w:sz w:val="32"/>
          <w:szCs w:val="32"/>
        </w:rPr>
        <w:t>万元、对个人和家庭的补助</w:t>
      </w:r>
      <w:r>
        <w:rPr>
          <w:rFonts w:hint="eastAsia" w:ascii="仿宋" w:hAnsi="仿宋" w:eastAsia="仿宋" w:cs="仿宋"/>
          <w:color w:val="auto"/>
          <w:kern w:val="2"/>
          <w:sz w:val="32"/>
          <w:szCs w:val="32"/>
          <w:lang w:val="en-US" w:eastAsia="zh-CN"/>
        </w:rPr>
        <w:t>64.92</w:t>
      </w:r>
      <w:r>
        <w:rPr>
          <w:rFonts w:hint="eastAsia" w:ascii="仿宋" w:hAnsi="仿宋" w:eastAsia="仿宋" w:cs="仿宋"/>
          <w:color w:val="auto"/>
          <w:kern w:val="2"/>
          <w:sz w:val="32"/>
          <w:szCs w:val="32"/>
        </w:rPr>
        <w:t>万元，其他资本性支出</w:t>
      </w:r>
      <w:r>
        <w:rPr>
          <w:rFonts w:hint="eastAsia" w:ascii="仿宋" w:hAnsi="仿宋" w:eastAsia="仿宋" w:cs="仿宋"/>
          <w:color w:val="auto"/>
          <w:kern w:val="2"/>
          <w:sz w:val="32"/>
          <w:szCs w:val="32"/>
          <w:lang w:val="en-US" w:eastAsia="zh-CN"/>
        </w:rPr>
        <w:t>152.34</w:t>
      </w:r>
      <w:r>
        <w:rPr>
          <w:rFonts w:hint="eastAsia" w:ascii="仿宋" w:hAnsi="仿宋" w:eastAsia="仿宋" w:cs="仿宋"/>
          <w:color w:val="auto"/>
          <w:kern w:val="2"/>
          <w:sz w:val="32"/>
          <w:szCs w:val="32"/>
        </w:rPr>
        <w:t>万元。</w:t>
      </w:r>
    </w:p>
    <w:p>
      <w:pPr>
        <w:pStyle w:val="8"/>
        <w:widowControl/>
        <w:numPr>
          <w:ilvl w:val="0"/>
          <w:numId w:val="6"/>
        </w:numPr>
        <w:ind w:firstLine="729" w:firstLineChars="228"/>
        <w:jc w:val="both"/>
        <w:rPr>
          <w:rFonts w:hint="eastAsia" w:ascii="仿宋" w:hAnsi="仿宋" w:eastAsia="仿宋" w:cs="仿宋"/>
          <w:b w:val="0"/>
          <w:bCs w:val="0"/>
          <w:color w:val="auto"/>
          <w:kern w:val="2"/>
          <w:sz w:val="32"/>
          <w:szCs w:val="32"/>
        </w:rPr>
      </w:pPr>
      <w:r>
        <w:rPr>
          <w:rFonts w:hint="eastAsia" w:ascii="仿宋" w:hAnsi="仿宋" w:eastAsia="仿宋" w:cs="仿宋"/>
          <w:b w:val="0"/>
          <w:bCs w:val="0"/>
          <w:color w:val="auto"/>
          <w:kern w:val="2"/>
          <w:sz w:val="32"/>
          <w:szCs w:val="32"/>
        </w:rPr>
        <w:t>项目支出</w:t>
      </w:r>
    </w:p>
    <w:p>
      <w:pPr>
        <w:pStyle w:val="8"/>
        <w:widowControl/>
        <w:ind w:firstLine="729" w:firstLineChars="228"/>
        <w:jc w:val="both"/>
        <w:rPr>
          <w:rFonts w:hint="eastAsia" w:ascii="仿宋" w:hAnsi="仿宋" w:eastAsia="仿宋" w:cs="仿宋"/>
          <w:color w:val="auto"/>
          <w:kern w:val="2"/>
          <w:sz w:val="32"/>
          <w:szCs w:val="32"/>
          <w:lang w:val="en-US" w:eastAsia="zh-CN"/>
        </w:rPr>
      </w:pPr>
      <w:r>
        <w:rPr>
          <w:rFonts w:hint="eastAsia" w:ascii="仿宋" w:hAnsi="仿宋" w:eastAsia="仿宋" w:cs="仿宋"/>
          <w:color w:val="auto"/>
          <w:kern w:val="2"/>
          <w:sz w:val="32"/>
          <w:szCs w:val="32"/>
          <w:lang w:val="en-US" w:eastAsia="zh-CN"/>
        </w:rPr>
        <w:t>全年财政没有拨付项目经费。</w:t>
      </w:r>
    </w:p>
    <w:p>
      <w:pPr>
        <w:pStyle w:val="8"/>
        <w:widowControl/>
        <w:jc w:val="both"/>
        <w:rPr>
          <w:rFonts w:hint="eastAsia" w:ascii="仿宋" w:hAnsi="仿宋" w:eastAsia="仿宋" w:cs="仿宋"/>
          <w:color w:val="auto"/>
          <w:kern w:val="2"/>
          <w:sz w:val="32"/>
          <w:szCs w:val="32"/>
        </w:rPr>
      </w:pPr>
      <w:r>
        <w:rPr>
          <w:rFonts w:hint="eastAsia" w:ascii="仿宋" w:hAnsi="仿宋" w:eastAsia="仿宋" w:cs="仿宋"/>
          <w:color w:val="auto"/>
          <w:kern w:val="2"/>
          <w:sz w:val="32"/>
          <w:szCs w:val="32"/>
        </w:rPr>
        <w:t xml:space="preserve">    3、“三公经费”支出使用和管理情况、</w:t>
      </w:r>
    </w:p>
    <w:p>
      <w:pPr>
        <w:pStyle w:val="8"/>
        <w:widowControl/>
        <w:ind w:left="16" w:hanging="16" w:hangingChars="5"/>
        <w:jc w:val="both"/>
        <w:rPr>
          <w:rFonts w:hint="eastAsia" w:ascii="仿宋" w:hAnsi="仿宋" w:eastAsia="仿宋" w:cs="仿宋"/>
          <w:color w:val="auto"/>
          <w:kern w:val="2"/>
          <w:sz w:val="32"/>
          <w:szCs w:val="32"/>
        </w:rPr>
      </w:pPr>
      <w:r>
        <w:rPr>
          <w:rFonts w:hint="eastAsia" w:ascii="仿宋" w:hAnsi="仿宋" w:eastAsia="仿宋" w:cs="仿宋"/>
          <w:color w:val="auto"/>
          <w:kern w:val="2"/>
          <w:sz w:val="32"/>
          <w:szCs w:val="32"/>
        </w:rPr>
        <w:t xml:space="preserve">    20</w:t>
      </w:r>
      <w:r>
        <w:rPr>
          <w:rFonts w:hint="eastAsia" w:ascii="仿宋" w:hAnsi="仿宋" w:eastAsia="仿宋" w:cs="仿宋"/>
          <w:color w:val="auto"/>
          <w:kern w:val="2"/>
          <w:sz w:val="32"/>
          <w:szCs w:val="32"/>
          <w:lang w:val="en-US" w:eastAsia="zh-CN"/>
        </w:rPr>
        <w:t>21</w:t>
      </w:r>
      <w:r>
        <w:rPr>
          <w:rFonts w:hint="eastAsia" w:ascii="仿宋" w:hAnsi="仿宋" w:eastAsia="仿宋" w:cs="仿宋"/>
          <w:color w:val="auto"/>
          <w:kern w:val="2"/>
          <w:sz w:val="32"/>
          <w:szCs w:val="32"/>
        </w:rPr>
        <w:t>年“三公经费”实际支出</w:t>
      </w:r>
      <w:r>
        <w:rPr>
          <w:rFonts w:hint="eastAsia" w:ascii="仿宋" w:hAnsi="仿宋" w:eastAsia="仿宋" w:cs="仿宋"/>
          <w:color w:val="auto"/>
          <w:kern w:val="2"/>
          <w:sz w:val="32"/>
          <w:szCs w:val="32"/>
          <w:lang w:val="en-US" w:eastAsia="zh-CN"/>
        </w:rPr>
        <w:t>1.58</w:t>
      </w:r>
      <w:r>
        <w:rPr>
          <w:rFonts w:hint="eastAsia" w:ascii="仿宋" w:hAnsi="仿宋" w:eastAsia="仿宋" w:cs="仿宋"/>
          <w:color w:val="auto"/>
          <w:kern w:val="2"/>
          <w:sz w:val="32"/>
          <w:szCs w:val="32"/>
        </w:rPr>
        <w:t>万元，比上年节约</w:t>
      </w:r>
      <w:r>
        <w:rPr>
          <w:rFonts w:hint="eastAsia" w:ascii="仿宋" w:hAnsi="仿宋" w:eastAsia="仿宋" w:cs="仿宋"/>
          <w:color w:val="auto"/>
          <w:kern w:val="2"/>
          <w:sz w:val="32"/>
          <w:szCs w:val="32"/>
          <w:lang w:val="en-US" w:eastAsia="zh-CN"/>
        </w:rPr>
        <w:t>48.28%</w:t>
      </w:r>
      <w:r>
        <w:rPr>
          <w:rFonts w:hint="eastAsia" w:ascii="仿宋" w:hAnsi="仿宋" w:eastAsia="仿宋" w:cs="仿宋"/>
          <w:color w:val="auto"/>
          <w:kern w:val="2"/>
          <w:sz w:val="32"/>
          <w:szCs w:val="32"/>
        </w:rPr>
        <w:t>，其中：公务接待</w:t>
      </w:r>
      <w:r>
        <w:rPr>
          <w:rFonts w:hint="eastAsia" w:ascii="仿宋" w:hAnsi="仿宋" w:eastAsia="仿宋" w:cs="仿宋"/>
          <w:color w:val="auto"/>
          <w:kern w:val="2"/>
          <w:sz w:val="32"/>
          <w:szCs w:val="32"/>
          <w:lang w:val="en-US" w:eastAsia="zh-CN"/>
        </w:rPr>
        <w:t>0.95</w:t>
      </w:r>
      <w:r>
        <w:rPr>
          <w:rFonts w:hint="eastAsia" w:ascii="仿宋" w:hAnsi="仿宋" w:eastAsia="仿宋" w:cs="仿宋"/>
          <w:color w:val="auto"/>
          <w:kern w:val="2"/>
          <w:sz w:val="32"/>
          <w:szCs w:val="32"/>
        </w:rPr>
        <w:t>万元，会议费</w:t>
      </w:r>
      <w:r>
        <w:rPr>
          <w:rFonts w:hint="eastAsia" w:ascii="仿宋" w:hAnsi="仿宋" w:eastAsia="仿宋" w:cs="仿宋"/>
          <w:color w:val="auto"/>
          <w:kern w:val="2"/>
          <w:sz w:val="32"/>
          <w:szCs w:val="32"/>
          <w:lang w:val="en-US" w:eastAsia="zh-CN"/>
        </w:rPr>
        <w:t>0.14</w:t>
      </w:r>
      <w:r>
        <w:rPr>
          <w:rFonts w:hint="eastAsia" w:ascii="仿宋" w:hAnsi="仿宋" w:eastAsia="仿宋" w:cs="仿宋"/>
          <w:color w:val="auto"/>
          <w:kern w:val="2"/>
          <w:sz w:val="32"/>
          <w:szCs w:val="32"/>
        </w:rPr>
        <w:t>万元，公务用车购置及运行维护费开支</w:t>
      </w:r>
      <w:r>
        <w:rPr>
          <w:rFonts w:hint="eastAsia" w:ascii="仿宋" w:hAnsi="仿宋" w:eastAsia="仿宋" w:cs="仿宋"/>
          <w:color w:val="auto"/>
          <w:kern w:val="2"/>
          <w:sz w:val="32"/>
          <w:szCs w:val="32"/>
          <w:lang w:val="en-US" w:eastAsia="zh-CN"/>
        </w:rPr>
        <w:t>0.63</w:t>
      </w:r>
      <w:r>
        <w:rPr>
          <w:rFonts w:hint="eastAsia" w:ascii="仿宋" w:hAnsi="仿宋" w:eastAsia="仿宋" w:cs="仿宋"/>
          <w:color w:val="auto"/>
          <w:kern w:val="2"/>
          <w:sz w:val="32"/>
          <w:szCs w:val="32"/>
        </w:rPr>
        <w:t>万元。比年初预算节约</w:t>
      </w:r>
      <w:r>
        <w:rPr>
          <w:rFonts w:hint="eastAsia" w:ascii="仿宋" w:hAnsi="仿宋" w:eastAsia="仿宋" w:cs="仿宋"/>
          <w:color w:val="auto"/>
          <w:kern w:val="2"/>
          <w:sz w:val="32"/>
          <w:szCs w:val="32"/>
          <w:lang w:val="en-US" w:eastAsia="zh-CN"/>
        </w:rPr>
        <w:t>12.22</w:t>
      </w:r>
      <w:r>
        <w:rPr>
          <w:rFonts w:hint="eastAsia" w:ascii="仿宋" w:hAnsi="仿宋" w:eastAsia="仿宋" w:cs="仿宋"/>
          <w:color w:val="auto"/>
          <w:kern w:val="2"/>
          <w:sz w:val="32"/>
          <w:szCs w:val="32"/>
        </w:rPr>
        <w:t>万元。</w:t>
      </w:r>
    </w:p>
    <w:p>
      <w:pPr>
        <w:rPr>
          <w:rFonts w:hint="eastAsia" w:ascii="仿宋" w:hAnsi="仿宋" w:eastAsia="仿宋" w:cs="仿宋"/>
          <w:sz w:val="32"/>
          <w:szCs w:val="32"/>
        </w:rPr>
      </w:pPr>
      <w:r>
        <w:rPr>
          <w:rFonts w:hint="eastAsia" w:ascii="仿宋" w:hAnsi="仿宋" w:eastAsia="仿宋" w:cs="仿宋"/>
          <w:sz w:val="32"/>
          <w:szCs w:val="32"/>
        </w:rPr>
        <w:t xml:space="preserve">    4、年度收支结余情况</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20</w:t>
      </w:r>
      <w:r>
        <w:rPr>
          <w:rFonts w:hint="eastAsia" w:ascii="仿宋" w:hAnsi="仿宋" w:eastAsia="仿宋" w:cs="仿宋"/>
          <w:sz w:val="32"/>
          <w:szCs w:val="32"/>
          <w:lang w:val="en-US" w:eastAsia="zh-CN"/>
        </w:rPr>
        <w:t>21</w:t>
      </w:r>
      <w:r>
        <w:rPr>
          <w:rFonts w:hint="eastAsia" w:ascii="仿宋" w:hAnsi="仿宋" w:eastAsia="仿宋" w:cs="仿宋"/>
          <w:sz w:val="32"/>
          <w:szCs w:val="32"/>
        </w:rPr>
        <w:t>年</w:t>
      </w:r>
      <w:r>
        <w:rPr>
          <w:rFonts w:hint="eastAsia" w:ascii="仿宋" w:hAnsi="仿宋" w:eastAsia="仿宋" w:cs="仿宋"/>
          <w:sz w:val="32"/>
          <w:szCs w:val="32"/>
          <w:lang w:eastAsia="zh-CN"/>
        </w:rPr>
        <w:t>按财政新的方式，无结转结余</w:t>
      </w:r>
      <w:r>
        <w:rPr>
          <w:rFonts w:hint="eastAsia" w:ascii="仿宋" w:hAnsi="仿宋" w:eastAsia="仿宋" w:cs="仿宋"/>
          <w:sz w:val="32"/>
          <w:szCs w:val="32"/>
        </w:rPr>
        <w:t>。</w:t>
      </w:r>
    </w:p>
    <w:p>
      <w:pPr>
        <w:pStyle w:val="8"/>
        <w:widowControl/>
        <w:wordWrap w:val="0"/>
        <w:jc w:val="center"/>
        <w:rPr>
          <w:rFonts w:hint="eastAsia" w:ascii="仿宋" w:hAnsi="仿宋" w:eastAsia="仿宋" w:cs="仿宋"/>
          <w:color w:val="auto"/>
          <w:kern w:val="2"/>
          <w:sz w:val="32"/>
          <w:szCs w:val="32"/>
        </w:rPr>
      </w:pPr>
      <w:r>
        <w:rPr>
          <w:rFonts w:hint="eastAsia" w:ascii="仿宋" w:hAnsi="仿宋" w:eastAsia="仿宋" w:cs="仿宋"/>
          <w:color w:val="auto"/>
          <w:kern w:val="2"/>
          <w:sz w:val="32"/>
          <w:szCs w:val="32"/>
        </w:rPr>
        <w:t>三、部门整体支出绩效情况</w:t>
      </w:r>
    </w:p>
    <w:p>
      <w:pPr>
        <w:ind w:firstLine="480" w:firstLineChars="150"/>
        <w:jc w:val="left"/>
        <w:rPr>
          <w:rFonts w:hint="eastAsia" w:ascii="仿宋" w:hAnsi="仿宋" w:eastAsia="仿宋" w:cs="仿宋"/>
          <w:sz w:val="32"/>
          <w:szCs w:val="32"/>
        </w:rPr>
      </w:pPr>
      <w:r>
        <w:rPr>
          <w:rFonts w:hint="eastAsia" w:ascii="仿宋" w:hAnsi="仿宋" w:eastAsia="仿宋" w:cs="仿宋"/>
          <w:sz w:val="32"/>
          <w:szCs w:val="32"/>
        </w:rPr>
        <w:t>20</w:t>
      </w:r>
      <w:r>
        <w:rPr>
          <w:rFonts w:hint="eastAsia" w:ascii="仿宋" w:hAnsi="仿宋" w:eastAsia="仿宋" w:cs="仿宋"/>
          <w:sz w:val="32"/>
          <w:szCs w:val="32"/>
          <w:lang w:val="en-US" w:eastAsia="zh-CN"/>
        </w:rPr>
        <w:t>21</w:t>
      </w:r>
      <w:r>
        <w:rPr>
          <w:rFonts w:hint="eastAsia" w:ascii="仿宋" w:hAnsi="仿宋" w:eastAsia="仿宋" w:cs="仿宋"/>
          <w:sz w:val="32"/>
          <w:szCs w:val="32"/>
        </w:rPr>
        <w:t>年我局年初结转</w:t>
      </w:r>
      <w:r>
        <w:rPr>
          <w:rFonts w:hint="eastAsia" w:ascii="仿宋" w:hAnsi="仿宋" w:eastAsia="仿宋" w:cs="仿宋"/>
          <w:sz w:val="32"/>
          <w:szCs w:val="32"/>
          <w:lang w:val="en-US" w:eastAsia="zh-CN"/>
        </w:rPr>
        <w:t>488.04</w:t>
      </w:r>
      <w:r>
        <w:rPr>
          <w:rFonts w:hint="eastAsia" w:ascii="仿宋" w:hAnsi="仿宋" w:eastAsia="仿宋" w:cs="仿宋"/>
          <w:sz w:val="32"/>
          <w:szCs w:val="32"/>
        </w:rPr>
        <w:t>万元，本年财政收入</w:t>
      </w:r>
      <w:r>
        <w:rPr>
          <w:rFonts w:hint="eastAsia" w:ascii="仿宋" w:hAnsi="仿宋" w:eastAsia="仿宋" w:cs="仿宋"/>
          <w:sz w:val="32"/>
          <w:szCs w:val="32"/>
          <w:lang w:val="en-US" w:eastAsia="zh-CN"/>
        </w:rPr>
        <w:t>1135.25</w:t>
      </w:r>
      <w:r>
        <w:rPr>
          <w:rFonts w:hint="eastAsia" w:ascii="仿宋" w:hAnsi="仿宋" w:eastAsia="仿宋" w:cs="仿宋"/>
          <w:sz w:val="32"/>
          <w:szCs w:val="32"/>
        </w:rPr>
        <w:t>万元，我局支出</w:t>
      </w:r>
      <w:r>
        <w:rPr>
          <w:rFonts w:hint="eastAsia" w:ascii="仿宋" w:hAnsi="仿宋" w:eastAsia="仿宋" w:cs="仿宋"/>
          <w:sz w:val="32"/>
          <w:szCs w:val="32"/>
          <w:lang w:val="en-US" w:eastAsia="zh-CN"/>
        </w:rPr>
        <w:t>1623.39</w:t>
      </w:r>
      <w:r>
        <w:rPr>
          <w:rFonts w:hint="eastAsia" w:ascii="仿宋" w:hAnsi="仿宋" w:eastAsia="仿宋" w:cs="仿宋"/>
          <w:sz w:val="32"/>
          <w:szCs w:val="32"/>
        </w:rPr>
        <w:t>万元，其中：其中基本支出</w:t>
      </w:r>
      <w:r>
        <w:rPr>
          <w:rFonts w:hint="eastAsia" w:ascii="仿宋" w:hAnsi="仿宋" w:eastAsia="仿宋" w:cs="仿宋"/>
          <w:sz w:val="32"/>
          <w:szCs w:val="32"/>
          <w:lang w:val="en-US" w:eastAsia="zh-CN"/>
        </w:rPr>
        <w:t>1623.29</w:t>
      </w:r>
      <w:r>
        <w:rPr>
          <w:rFonts w:hint="eastAsia" w:ascii="仿宋" w:hAnsi="仿宋" w:eastAsia="仿宋" w:cs="仿宋"/>
          <w:sz w:val="32"/>
          <w:szCs w:val="32"/>
        </w:rPr>
        <w:t>万元。全年主要绩效如下：</w:t>
      </w:r>
    </w:p>
    <w:p>
      <w:pPr>
        <w:numPr>
          <w:ilvl w:val="0"/>
          <w:numId w:val="7"/>
        </w:numPr>
        <w:ind w:firstLine="480" w:firstLineChars="150"/>
        <w:jc w:val="left"/>
        <w:rPr>
          <w:rFonts w:hint="eastAsia" w:ascii="仿宋" w:hAnsi="仿宋" w:eastAsia="仿宋" w:cs="仿宋"/>
          <w:sz w:val="32"/>
          <w:szCs w:val="32"/>
          <w:lang w:eastAsia="zh-CN"/>
        </w:rPr>
      </w:pPr>
      <w:r>
        <w:rPr>
          <w:rFonts w:hint="eastAsia" w:ascii="仿宋" w:hAnsi="仿宋" w:eastAsia="仿宋" w:cs="仿宋"/>
          <w:sz w:val="32"/>
          <w:szCs w:val="32"/>
          <w:lang w:eastAsia="zh-CN"/>
        </w:rPr>
        <w:t>预算配置情况</w:t>
      </w:r>
    </w:p>
    <w:p>
      <w:pPr>
        <w:numPr>
          <w:ilvl w:val="0"/>
          <w:numId w:val="8"/>
        </w:numPr>
        <w:ind w:left="480" w:leftChars="0" w:firstLine="0" w:firstLineChars="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在职人员控制率：2021年在职人员57，实有编制60人、离退休人员58人，在职人员控制率95%</w:t>
      </w:r>
    </w:p>
    <w:p>
      <w:pPr>
        <w:numPr>
          <w:ilvl w:val="0"/>
          <w:numId w:val="8"/>
        </w:numPr>
        <w:ind w:left="480" w:leftChars="0" w:firstLine="0" w:firstLineChars="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“三公“经费变动率，三公经费比上年节约5.8万元，变动率为48.28%</w:t>
      </w:r>
    </w:p>
    <w:p>
      <w:pPr>
        <w:numPr>
          <w:ilvl w:val="0"/>
          <w:numId w:val="8"/>
        </w:numPr>
        <w:ind w:left="480" w:leftChars="0" w:firstLine="0" w:firstLineChars="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预算完成率：2021年卫生健康局预算收入为1135.25万元，上年结转488.04万元，决算支出为1623.29万元。预算完成率为100%</w:t>
      </w:r>
    </w:p>
    <w:p>
      <w:pPr>
        <w:numPr>
          <w:ilvl w:val="0"/>
          <w:numId w:val="8"/>
        </w:numPr>
        <w:ind w:left="480" w:leftChars="0" w:firstLine="0" w:firstLineChars="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预算控制率：2021年年初预算1369.99万元，年中追加1835.17万元。实慰支付1135.25万元，控制率为42.73%</w:t>
      </w:r>
    </w:p>
    <w:p>
      <w:pPr>
        <w:numPr>
          <w:ilvl w:val="0"/>
          <w:numId w:val="8"/>
        </w:numPr>
        <w:ind w:left="480" w:leftChars="0" w:firstLine="0" w:firstLineChars="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部门整体支出绩效：</w:t>
      </w:r>
    </w:p>
    <w:p>
      <w:pPr>
        <w:keepNext w:val="0"/>
        <w:keepLines w:val="0"/>
        <w:pageBreakBefore w:val="0"/>
        <w:widowControl w:val="0"/>
        <w:pBdr>
          <w:bottom w:val="single" w:color="FFFFFF" w:sz="4" w:space="31"/>
        </w:pBdr>
        <w:tabs>
          <w:tab w:val="left" w:pos="1440"/>
        </w:tabs>
        <w:kinsoku/>
        <w:wordWrap/>
        <w:topLinePunct w:val="0"/>
        <w:autoSpaceDE/>
        <w:autoSpaceDN/>
        <w:bidi w:val="0"/>
        <w:adjustRightInd w:val="0"/>
        <w:snapToGrid w:val="0"/>
        <w:spacing w:line="560" w:lineRule="exact"/>
        <w:ind w:firstLine="640"/>
        <w:contextualSpacing/>
        <w:textAlignment w:val="auto"/>
        <w:rPr>
          <w:rFonts w:hint="eastAsia" w:ascii="仿宋" w:hAnsi="仿宋" w:eastAsia="仿宋" w:cs="仿宋"/>
          <w:color w:val="auto"/>
          <w:sz w:val="32"/>
          <w:szCs w:val="32"/>
        </w:rPr>
      </w:pPr>
      <w:r>
        <w:rPr>
          <w:rFonts w:hint="eastAsia" w:ascii="仿宋" w:hAnsi="仿宋" w:eastAsia="仿宋" w:cs="仿宋"/>
          <w:b/>
          <w:sz w:val="32"/>
          <w:szCs w:val="32"/>
          <w:lang w:val="en-US" w:eastAsia="zh-CN"/>
        </w:rPr>
        <w:t>1.</w:t>
      </w:r>
      <w:r>
        <w:rPr>
          <w:rFonts w:hint="eastAsia" w:ascii="仿宋" w:hAnsi="仿宋" w:eastAsia="仿宋" w:cs="仿宋"/>
          <w:b/>
          <w:color w:val="auto"/>
          <w:sz w:val="32"/>
          <w:szCs w:val="32"/>
          <w:lang w:val="en-US" w:eastAsia="zh-CN"/>
        </w:rPr>
        <w:t>持续</w:t>
      </w:r>
      <w:r>
        <w:rPr>
          <w:rFonts w:hint="eastAsia" w:ascii="仿宋" w:hAnsi="仿宋" w:eastAsia="仿宋" w:cs="仿宋"/>
          <w:b/>
          <w:bCs w:val="0"/>
          <w:color w:val="auto"/>
          <w:sz w:val="32"/>
          <w:szCs w:val="32"/>
          <w:lang w:eastAsia="zh-CN"/>
        </w:rPr>
        <w:t>抗击</w:t>
      </w:r>
      <w:r>
        <w:rPr>
          <w:rFonts w:hint="eastAsia" w:ascii="仿宋" w:hAnsi="仿宋" w:eastAsia="仿宋" w:cs="仿宋"/>
          <w:b/>
          <w:bCs w:val="0"/>
          <w:color w:val="auto"/>
          <w:sz w:val="32"/>
          <w:szCs w:val="32"/>
        </w:rPr>
        <w:t>新冠</w:t>
      </w:r>
      <w:r>
        <w:rPr>
          <w:rFonts w:hint="eastAsia" w:ascii="仿宋" w:hAnsi="仿宋" w:eastAsia="仿宋" w:cs="仿宋"/>
          <w:b/>
          <w:bCs w:val="0"/>
          <w:color w:val="auto"/>
          <w:sz w:val="32"/>
          <w:szCs w:val="32"/>
          <w:lang w:eastAsia="zh-CN"/>
        </w:rPr>
        <w:t>肺炎</w:t>
      </w:r>
      <w:r>
        <w:rPr>
          <w:rFonts w:hint="eastAsia" w:ascii="仿宋" w:hAnsi="仿宋" w:eastAsia="仿宋" w:cs="仿宋"/>
          <w:b/>
          <w:bCs w:val="0"/>
          <w:color w:val="auto"/>
          <w:sz w:val="32"/>
          <w:szCs w:val="32"/>
        </w:rPr>
        <w:t>疫情</w:t>
      </w:r>
      <w:r>
        <w:rPr>
          <w:rFonts w:hint="eastAsia" w:ascii="仿宋" w:hAnsi="仿宋" w:eastAsia="仿宋" w:cs="仿宋"/>
          <w:b/>
          <w:color w:val="auto"/>
          <w:sz w:val="32"/>
          <w:szCs w:val="32"/>
          <w:lang w:eastAsia="zh-CN"/>
        </w:rPr>
        <w:t>。</w:t>
      </w:r>
      <w:r>
        <w:rPr>
          <w:rFonts w:hint="eastAsia" w:ascii="仿宋" w:hAnsi="仿宋" w:eastAsia="仿宋" w:cs="仿宋"/>
          <w:color w:val="auto"/>
          <w:sz w:val="32"/>
          <w:szCs w:val="32"/>
        </w:rPr>
        <w:t>新</w:t>
      </w:r>
      <w:r>
        <w:rPr>
          <w:rFonts w:hint="eastAsia" w:ascii="仿宋" w:hAnsi="仿宋" w:eastAsia="仿宋" w:cs="仿宋"/>
          <w:sz w:val="32"/>
          <w:szCs w:val="32"/>
        </w:rPr>
        <w:t>冠肺炎疫情发生以来，全市卫健系统坚决贯彻习近平总书记关于疫情防控重要指示批示精神，在市委市政府的坚强领导下，始终把人民群众生命安全和身体健康放在第一位，有力有序有效推进疫情防控工作取得阶段性成效。</w:t>
      </w:r>
      <w:r>
        <w:rPr>
          <w:rFonts w:hint="eastAsia" w:ascii="仿宋" w:hAnsi="仿宋" w:eastAsia="仿宋" w:cs="仿宋"/>
          <w:color w:val="000000"/>
          <w:kern w:val="0"/>
          <w:sz w:val="32"/>
          <w:szCs w:val="32"/>
          <w:lang w:val="en-US"/>
        </w:rPr>
        <w:t>报告3例确诊病例</w:t>
      </w:r>
      <w:r>
        <w:rPr>
          <w:rFonts w:hint="eastAsia" w:ascii="仿宋" w:hAnsi="仿宋" w:eastAsia="仿宋" w:cs="仿宋"/>
          <w:color w:val="000000"/>
          <w:kern w:val="0"/>
          <w:sz w:val="32"/>
          <w:szCs w:val="32"/>
          <w:lang w:val="en-US" w:eastAsia="zh-CN"/>
        </w:rPr>
        <w:t>已</w:t>
      </w:r>
      <w:r>
        <w:rPr>
          <w:rFonts w:hint="eastAsia" w:ascii="仿宋" w:hAnsi="仿宋" w:eastAsia="仿宋" w:cs="仿宋"/>
          <w:color w:val="000000"/>
          <w:kern w:val="0"/>
          <w:sz w:val="32"/>
          <w:szCs w:val="32"/>
          <w:lang w:val="en-US"/>
        </w:rPr>
        <w:t>全部治愈出院，</w:t>
      </w:r>
      <w:r>
        <w:rPr>
          <w:rFonts w:hint="eastAsia" w:ascii="仿宋" w:hAnsi="仿宋" w:eastAsia="仿宋" w:cs="仿宋"/>
          <w:color w:val="000000"/>
          <w:kern w:val="0"/>
          <w:sz w:val="32"/>
          <w:szCs w:val="32"/>
          <w:lang w:val="en-US" w:eastAsia="zh-CN"/>
        </w:rPr>
        <w:t>派出的</w:t>
      </w:r>
      <w:r>
        <w:rPr>
          <w:rFonts w:hint="eastAsia" w:ascii="仿宋" w:hAnsi="仿宋" w:eastAsia="仿宋" w:cs="仿宋"/>
          <w:color w:val="000000"/>
          <w:kern w:val="0"/>
          <w:sz w:val="32"/>
          <w:szCs w:val="32"/>
          <w:lang w:val="en-US"/>
        </w:rPr>
        <w:t>5名援鄂医护人员</w:t>
      </w:r>
      <w:r>
        <w:rPr>
          <w:rFonts w:hint="eastAsia" w:ascii="仿宋" w:hAnsi="仿宋" w:eastAsia="仿宋" w:cs="仿宋"/>
          <w:color w:val="000000"/>
          <w:kern w:val="0"/>
          <w:sz w:val="32"/>
          <w:szCs w:val="32"/>
          <w:lang w:val="en-US" w:eastAsia="zh-CN"/>
        </w:rPr>
        <w:t>圆满完成救治任务后</w:t>
      </w:r>
      <w:r>
        <w:rPr>
          <w:rFonts w:hint="eastAsia" w:ascii="仿宋" w:hAnsi="仿宋" w:eastAsia="仿宋" w:cs="仿宋"/>
          <w:color w:val="000000"/>
          <w:kern w:val="0"/>
          <w:sz w:val="32"/>
          <w:szCs w:val="32"/>
          <w:lang w:val="en-US"/>
        </w:rPr>
        <w:t>也平安</w:t>
      </w:r>
      <w:r>
        <w:rPr>
          <w:rFonts w:hint="eastAsia" w:ascii="仿宋" w:hAnsi="仿宋" w:eastAsia="仿宋" w:cs="仿宋"/>
          <w:color w:val="000000"/>
          <w:kern w:val="0"/>
          <w:sz w:val="32"/>
          <w:szCs w:val="32"/>
          <w:lang w:val="en-US" w:eastAsia="zh-CN"/>
        </w:rPr>
        <w:t>归来</w:t>
      </w:r>
      <w:r>
        <w:rPr>
          <w:rFonts w:hint="eastAsia" w:ascii="仿宋" w:hAnsi="仿宋" w:eastAsia="仿宋" w:cs="仿宋"/>
          <w:color w:val="000000"/>
          <w:kern w:val="0"/>
          <w:sz w:val="32"/>
          <w:szCs w:val="32"/>
          <w:lang w:val="en-US"/>
        </w:rPr>
        <w:t>。</w:t>
      </w:r>
      <w:r>
        <w:rPr>
          <w:rFonts w:hint="eastAsia" w:ascii="仿宋" w:hAnsi="仿宋" w:eastAsia="仿宋" w:cs="仿宋"/>
          <w:color w:val="000000"/>
          <w:kern w:val="0"/>
          <w:sz w:val="32"/>
          <w:szCs w:val="32"/>
          <w:lang w:val="en-US" w:eastAsia="zh-CN"/>
        </w:rPr>
        <w:t>一年来，</w:t>
      </w:r>
      <w:r>
        <w:rPr>
          <w:rFonts w:hint="eastAsia" w:ascii="仿宋" w:hAnsi="仿宋" w:eastAsia="仿宋" w:cs="仿宋"/>
          <w:bCs/>
          <w:sz w:val="32"/>
          <w:szCs w:val="32"/>
        </w:rPr>
        <w:t>我市</w:t>
      </w:r>
      <w:r>
        <w:rPr>
          <w:rFonts w:hint="eastAsia" w:ascii="仿宋" w:hAnsi="仿宋" w:eastAsia="仿宋" w:cs="仿宋"/>
          <w:sz w:val="32"/>
          <w:szCs w:val="32"/>
          <w:lang w:val="en-US"/>
        </w:rPr>
        <w:t>坚决贯彻执行省委、省政府“外防输入、内防反弹”的总体防控策略</w:t>
      </w:r>
      <w:r>
        <w:rPr>
          <w:rFonts w:hint="eastAsia" w:ascii="仿宋" w:hAnsi="仿宋" w:eastAsia="仿宋" w:cs="仿宋"/>
          <w:sz w:val="32"/>
          <w:szCs w:val="32"/>
          <w:lang w:val="en-US" w:eastAsia="zh-CN"/>
        </w:rPr>
        <w:t>，根据疫情发展变化，先后开展了公共场所复工、企业复产、医疗机构复诊、学校复课的传染病防控专项督查以及常态化防控工作指导，开展场所消毒、规范设立临时隔离室、体温检测、健康宣教等工作。规范发热门诊，严格落实预检分诊，各级各类学校加强晨午检工作，落实“四早”措施。做好了重大活动的疫情防控督查指导。2021年，共大数据排查信息45890条，其中涉外1601条，国内中高风险地区44289条；闭环接返入境人员129人:健康管理9707人，其中涉鄂8869人、其他中高风险地来湘返湘人员160人、入境人员678人。</w:t>
      </w:r>
    </w:p>
    <w:p>
      <w:pPr>
        <w:keepNext w:val="0"/>
        <w:keepLines w:val="0"/>
        <w:pageBreakBefore w:val="0"/>
        <w:widowControl w:val="0"/>
        <w:pBdr>
          <w:bottom w:val="single" w:color="FFFFFF" w:sz="4" w:space="31"/>
        </w:pBdr>
        <w:tabs>
          <w:tab w:val="left" w:pos="1440"/>
        </w:tabs>
        <w:kinsoku/>
        <w:wordWrap/>
        <w:topLinePunct w:val="0"/>
        <w:autoSpaceDE/>
        <w:autoSpaceDN/>
        <w:bidi w:val="0"/>
        <w:adjustRightInd w:val="0"/>
        <w:snapToGrid w:val="0"/>
        <w:spacing w:line="560" w:lineRule="exact"/>
        <w:ind w:firstLine="640"/>
        <w:contextualSpacing/>
        <w:textAlignment w:val="auto"/>
        <w:rPr>
          <w:rFonts w:hint="eastAsia" w:ascii="仿宋" w:hAnsi="仿宋" w:eastAsia="仿宋" w:cs="仿宋"/>
          <w:color w:val="auto"/>
          <w:sz w:val="32"/>
          <w:szCs w:val="32"/>
          <w:lang w:val="en-US" w:eastAsia="zh-CN"/>
        </w:rPr>
      </w:pPr>
      <w:r>
        <w:rPr>
          <w:rFonts w:hint="eastAsia" w:ascii="仿宋" w:hAnsi="仿宋" w:eastAsia="仿宋" w:cs="仿宋"/>
          <w:b/>
          <w:color w:val="auto"/>
          <w:sz w:val="32"/>
          <w:szCs w:val="32"/>
          <w:lang w:val="en-US" w:eastAsia="zh-CN"/>
        </w:rPr>
        <w:t>2.不断加强</w:t>
      </w:r>
      <w:r>
        <w:rPr>
          <w:rFonts w:hint="eastAsia" w:ascii="仿宋" w:hAnsi="仿宋" w:eastAsia="仿宋" w:cs="仿宋"/>
          <w:b/>
          <w:bCs/>
          <w:color w:val="auto"/>
          <w:sz w:val="32"/>
          <w:szCs w:val="32"/>
        </w:rPr>
        <w:t>系统党的建设</w:t>
      </w:r>
      <w:r>
        <w:rPr>
          <w:rFonts w:hint="eastAsia" w:ascii="仿宋" w:hAnsi="仿宋" w:eastAsia="仿宋" w:cs="仿宋"/>
          <w:b/>
          <w:bCs/>
          <w:color w:val="auto"/>
          <w:sz w:val="32"/>
          <w:szCs w:val="32"/>
          <w:lang w:eastAsia="zh-CN"/>
        </w:rPr>
        <w:t>。</w:t>
      </w:r>
      <w:r>
        <w:rPr>
          <w:rFonts w:hint="eastAsia" w:ascii="仿宋" w:hAnsi="仿宋" w:eastAsia="仿宋" w:cs="仿宋"/>
          <w:color w:val="auto"/>
          <w:sz w:val="32"/>
          <w:szCs w:val="32"/>
          <w:lang w:eastAsia="zh-CN"/>
        </w:rPr>
        <w:t>坚持</w:t>
      </w:r>
      <w:r>
        <w:rPr>
          <w:rFonts w:hint="eastAsia" w:ascii="仿宋" w:hAnsi="仿宋" w:eastAsia="仿宋" w:cs="仿宋"/>
          <w:color w:val="auto"/>
          <w:sz w:val="32"/>
          <w:szCs w:val="32"/>
        </w:rPr>
        <w:t>“两学一做”学习教育常态化制度化</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深入学习贯彻党的十九大精神和习近平总书记系列重要讲话精神</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系统内党员干部做到在政治上、思想上、行动上同党中央保持高度一致。在市委</w:t>
      </w:r>
      <w:r>
        <w:rPr>
          <w:rFonts w:hint="eastAsia" w:ascii="仿宋" w:hAnsi="仿宋" w:eastAsia="仿宋" w:cs="仿宋"/>
          <w:color w:val="auto"/>
          <w:sz w:val="32"/>
          <w:szCs w:val="32"/>
          <w:lang w:eastAsia="zh-CN"/>
        </w:rPr>
        <w:t>坚强</w:t>
      </w:r>
      <w:r>
        <w:rPr>
          <w:rFonts w:hint="eastAsia" w:ascii="仿宋" w:hAnsi="仿宋" w:eastAsia="仿宋" w:cs="仿宋"/>
          <w:color w:val="auto"/>
          <w:sz w:val="32"/>
          <w:szCs w:val="32"/>
        </w:rPr>
        <w:t>领导下，</w:t>
      </w:r>
      <w:r>
        <w:rPr>
          <w:rFonts w:hint="eastAsia" w:ascii="仿宋" w:hAnsi="仿宋" w:eastAsia="仿宋" w:cs="仿宋"/>
          <w:color w:val="auto"/>
          <w:sz w:val="32"/>
          <w:szCs w:val="32"/>
          <w:lang w:eastAsia="zh-CN"/>
        </w:rPr>
        <w:t>我们对市直</w:t>
      </w:r>
      <w:r>
        <w:rPr>
          <w:rFonts w:hint="eastAsia" w:ascii="仿宋" w:hAnsi="仿宋" w:eastAsia="仿宋" w:cs="仿宋"/>
          <w:color w:val="auto"/>
          <w:sz w:val="32"/>
          <w:szCs w:val="32"/>
        </w:rPr>
        <w:t>公立医院</w:t>
      </w:r>
      <w:r>
        <w:rPr>
          <w:rFonts w:hint="eastAsia" w:ascii="仿宋" w:hAnsi="仿宋" w:eastAsia="仿宋" w:cs="仿宋"/>
          <w:color w:val="auto"/>
          <w:sz w:val="32"/>
          <w:szCs w:val="32"/>
          <w:lang w:eastAsia="zh-CN"/>
        </w:rPr>
        <w:t>的</w:t>
      </w:r>
      <w:r>
        <w:rPr>
          <w:rFonts w:hint="eastAsia" w:ascii="仿宋" w:hAnsi="仿宋" w:eastAsia="仿宋" w:cs="仿宋"/>
          <w:color w:val="auto"/>
          <w:sz w:val="32"/>
          <w:szCs w:val="32"/>
        </w:rPr>
        <w:t>党组织</w:t>
      </w:r>
      <w:r>
        <w:rPr>
          <w:rFonts w:hint="eastAsia" w:ascii="仿宋" w:hAnsi="仿宋" w:eastAsia="仿宋" w:cs="仿宋"/>
          <w:color w:val="auto"/>
          <w:sz w:val="32"/>
          <w:szCs w:val="32"/>
          <w:lang w:eastAsia="zh-CN"/>
        </w:rPr>
        <w:t>进行了规范设置</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顺利</w:t>
      </w:r>
      <w:r>
        <w:rPr>
          <w:rFonts w:hint="eastAsia" w:ascii="仿宋" w:hAnsi="仿宋" w:eastAsia="仿宋" w:cs="仿宋"/>
          <w:color w:val="auto"/>
          <w:sz w:val="32"/>
          <w:szCs w:val="32"/>
        </w:rPr>
        <w:t>完成</w:t>
      </w:r>
      <w:r>
        <w:rPr>
          <w:rFonts w:hint="eastAsia" w:ascii="仿宋" w:hAnsi="仿宋" w:eastAsia="仿宋" w:cs="仿宋"/>
          <w:color w:val="auto"/>
          <w:sz w:val="32"/>
          <w:szCs w:val="32"/>
          <w:lang w:eastAsia="zh-CN"/>
        </w:rPr>
        <w:t>四家</w:t>
      </w:r>
      <w:r>
        <w:rPr>
          <w:rFonts w:hint="eastAsia" w:ascii="仿宋" w:hAnsi="仿宋" w:eastAsia="仿宋" w:cs="仿宋"/>
          <w:color w:val="auto"/>
          <w:sz w:val="32"/>
          <w:szCs w:val="32"/>
        </w:rPr>
        <w:t>公立医院党组织的</w:t>
      </w:r>
      <w:r>
        <w:rPr>
          <w:rFonts w:hint="eastAsia" w:ascii="仿宋" w:hAnsi="仿宋" w:eastAsia="仿宋" w:cs="仿宋"/>
          <w:color w:val="auto"/>
          <w:sz w:val="32"/>
          <w:szCs w:val="32"/>
          <w:lang w:eastAsia="zh-CN"/>
        </w:rPr>
        <w:t>换届</w:t>
      </w:r>
      <w:r>
        <w:rPr>
          <w:rFonts w:hint="eastAsia" w:ascii="仿宋" w:hAnsi="仿宋" w:eastAsia="仿宋" w:cs="仿宋"/>
          <w:color w:val="auto"/>
          <w:sz w:val="32"/>
          <w:szCs w:val="32"/>
        </w:rPr>
        <w:t>选举工作，规范</w:t>
      </w:r>
      <w:r>
        <w:rPr>
          <w:rFonts w:hint="eastAsia" w:ascii="仿宋" w:hAnsi="仿宋" w:eastAsia="仿宋" w:cs="仿宋"/>
          <w:color w:val="auto"/>
          <w:sz w:val="32"/>
          <w:szCs w:val="32"/>
          <w:lang w:eastAsia="zh-CN"/>
        </w:rPr>
        <w:t>了</w:t>
      </w:r>
      <w:r>
        <w:rPr>
          <w:rFonts w:hint="eastAsia" w:ascii="仿宋" w:hAnsi="仿宋" w:eastAsia="仿宋" w:cs="仿宋"/>
          <w:color w:val="auto"/>
          <w:sz w:val="32"/>
          <w:szCs w:val="32"/>
        </w:rPr>
        <w:t>运行机制。公立医院实行党委领导下的院长负责制</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医院党委发挥把方向、管大局、作决策、促改革、保落实的领导作用。</w:t>
      </w:r>
      <w:r>
        <w:rPr>
          <w:rFonts w:hint="eastAsia" w:ascii="仿宋" w:hAnsi="仿宋" w:eastAsia="仿宋" w:cs="仿宋"/>
          <w:color w:val="auto"/>
          <w:sz w:val="32"/>
          <w:szCs w:val="32"/>
          <w:lang w:eastAsia="zh-CN"/>
        </w:rPr>
        <w:t>深化党支部“五化”建设，</w:t>
      </w:r>
      <w:r>
        <w:rPr>
          <w:rFonts w:hint="eastAsia" w:ascii="仿宋" w:hAnsi="仿宋" w:eastAsia="仿宋" w:cs="仿宋"/>
          <w:color w:val="auto"/>
          <w:sz w:val="32"/>
          <w:szCs w:val="32"/>
          <w:lang w:val="en-US" w:eastAsia="zh-CN"/>
        </w:rPr>
        <w:t>2021年系统成功创建5个“五星”党支部。疫情防控期间，</w:t>
      </w:r>
      <w:r>
        <w:rPr>
          <w:rFonts w:hint="eastAsia" w:ascii="仿宋" w:hAnsi="仿宋" w:eastAsia="仿宋" w:cs="仿宋"/>
          <w:color w:val="auto"/>
          <w:sz w:val="32"/>
          <w:szCs w:val="32"/>
        </w:rPr>
        <w:t>我们在白水塘传染病区和福利中心临时隔离点设置了两个临时党支部，一大批优秀的医护人员在繁忙的防护工作间隙纷纷向临时党支部递交入党申请书，表达加入中国共产党的志愿</w:t>
      </w:r>
      <w:r>
        <w:rPr>
          <w:rFonts w:hint="eastAsia" w:ascii="仿宋" w:hAnsi="仿宋" w:eastAsia="仿宋" w:cs="仿宋"/>
          <w:color w:val="auto"/>
          <w:sz w:val="32"/>
          <w:szCs w:val="32"/>
          <w:lang w:eastAsia="zh-CN"/>
        </w:rPr>
        <w:t>，极大体现了党组织的战斗堡垒作用和党员的先锋模范作用</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年底，开展了系统党组织书记履行党建工作和落实意识形态工作责任述职测评，党组织书记认真回顾一年来的履职情况，接受广大党员测评，反响良好。</w:t>
      </w:r>
    </w:p>
    <w:p>
      <w:pPr>
        <w:keepNext w:val="0"/>
        <w:keepLines w:val="0"/>
        <w:pageBreakBefore w:val="0"/>
        <w:widowControl w:val="0"/>
        <w:pBdr>
          <w:bottom w:val="single" w:color="FFFFFF" w:sz="4" w:space="31"/>
        </w:pBdr>
        <w:tabs>
          <w:tab w:val="left" w:pos="1440"/>
        </w:tabs>
        <w:kinsoku/>
        <w:wordWrap/>
        <w:topLinePunct w:val="0"/>
        <w:autoSpaceDE/>
        <w:autoSpaceDN/>
        <w:bidi w:val="0"/>
        <w:adjustRightInd w:val="0"/>
        <w:snapToGrid w:val="0"/>
        <w:spacing w:line="560" w:lineRule="exact"/>
        <w:ind w:firstLine="640"/>
        <w:contextualSpacing/>
        <w:textAlignment w:val="auto"/>
        <w:rPr>
          <w:rFonts w:hint="eastAsia" w:ascii="仿宋" w:hAnsi="仿宋" w:eastAsia="仿宋" w:cs="仿宋"/>
          <w:kern w:val="2"/>
          <w:sz w:val="32"/>
          <w:szCs w:val="32"/>
          <w:lang w:val="en-US" w:eastAsia="zh-CN" w:bidi="ar-SA"/>
        </w:rPr>
      </w:pPr>
      <w:r>
        <w:rPr>
          <w:rFonts w:hint="eastAsia" w:ascii="仿宋" w:hAnsi="仿宋" w:eastAsia="仿宋" w:cs="仿宋"/>
          <w:b/>
          <w:kern w:val="2"/>
          <w:sz w:val="32"/>
          <w:szCs w:val="32"/>
          <w:lang w:val="en-US" w:eastAsia="zh-CN" w:bidi="ar-SA"/>
        </w:rPr>
        <w:t>3.坚持</w:t>
      </w:r>
      <w:r>
        <w:rPr>
          <w:rFonts w:hint="eastAsia" w:ascii="仿宋" w:hAnsi="仿宋" w:eastAsia="仿宋" w:cs="仿宋"/>
          <w:b/>
          <w:bCs w:val="0"/>
          <w:color w:val="auto"/>
          <w:sz w:val="32"/>
          <w:szCs w:val="32"/>
        </w:rPr>
        <w:t>深化医药卫生体制改革。</w:t>
      </w:r>
      <w:r>
        <w:rPr>
          <w:rFonts w:hint="eastAsia" w:ascii="仿宋" w:hAnsi="仿宋" w:eastAsia="仿宋" w:cs="仿宋"/>
          <w:b/>
          <w:bCs/>
          <w:color w:val="auto"/>
          <w:kern w:val="2"/>
          <w:sz w:val="32"/>
          <w:szCs w:val="32"/>
          <w:lang w:val="en-US" w:eastAsia="zh-CN" w:bidi="ar-SA"/>
        </w:rPr>
        <w:t>一是</w:t>
      </w:r>
      <w:r>
        <w:rPr>
          <w:rFonts w:hint="eastAsia" w:ascii="仿宋" w:hAnsi="仿宋" w:eastAsia="仿宋" w:cs="仿宋"/>
          <w:color w:val="auto"/>
          <w:kern w:val="2"/>
          <w:sz w:val="32"/>
          <w:szCs w:val="32"/>
          <w:lang w:val="en-US" w:eastAsia="zh-CN" w:bidi="ar-SA"/>
        </w:rPr>
        <w:t>推</w:t>
      </w:r>
      <w:r>
        <w:rPr>
          <w:rFonts w:hint="eastAsia" w:ascii="仿宋" w:hAnsi="仿宋" w:eastAsia="仿宋" w:cs="仿宋"/>
          <w:kern w:val="2"/>
          <w:sz w:val="32"/>
          <w:szCs w:val="32"/>
          <w:lang w:val="en-US" w:eastAsia="zh-CN" w:bidi="ar-SA"/>
        </w:rPr>
        <w:t>进城乡医疗卫生机构一体化建设。在原医共体建设的基础上，推进紧密型医共体建设，棋梓卫生院整体移交市人民医院管理，建立市人民医院棋梓分院；市人民医院与虞唐中心卫生院、中医医院与月山中心卫生院、二人民医院与翻江中心卫生院建立了紧密型合作关系，正在逐步开通以心电图、影像为重点的远程视频会诊信息系统。</w:t>
      </w:r>
      <w:r>
        <w:rPr>
          <w:rFonts w:hint="eastAsia" w:ascii="仿宋" w:hAnsi="仿宋" w:eastAsia="仿宋" w:cs="仿宋"/>
          <w:b/>
          <w:bCs/>
          <w:kern w:val="2"/>
          <w:sz w:val="32"/>
          <w:szCs w:val="32"/>
          <w:lang w:val="en-US" w:eastAsia="zh-CN" w:bidi="ar-SA"/>
        </w:rPr>
        <w:t>二是</w:t>
      </w:r>
      <w:r>
        <w:rPr>
          <w:rFonts w:hint="eastAsia" w:ascii="仿宋" w:hAnsi="仿宋" w:eastAsia="仿宋" w:cs="仿宋"/>
          <w:kern w:val="2"/>
          <w:sz w:val="32"/>
          <w:szCs w:val="32"/>
          <w:lang w:val="en-US" w:eastAsia="zh-CN" w:bidi="ar-SA"/>
        </w:rPr>
        <w:t>推进家庭医生签约服务。建立健全了以县级公立医院全科医生、乡镇卫生院全科医生、乡村医生组成的家庭医生签约服务体系，为城乡居民提供健康检查、疾病筛查、健康教育、慢病管理、预约诊疗等连续性健康服务。</w:t>
      </w:r>
      <w:r>
        <w:rPr>
          <w:rFonts w:hint="eastAsia" w:ascii="仿宋" w:hAnsi="仿宋" w:eastAsia="仿宋" w:cs="仿宋"/>
          <w:b/>
          <w:bCs/>
          <w:kern w:val="2"/>
          <w:sz w:val="32"/>
          <w:szCs w:val="32"/>
          <w:lang w:val="en-US" w:eastAsia="zh-CN" w:bidi="ar-SA"/>
        </w:rPr>
        <w:t>三是</w:t>
      </w:r>
      <w:r>
        <w:rPr>
          <w:rFonts w:hint="eastAsia" w:ascii="仿宋" w:hAnsi="仿宋" w:eastAsia="仿宋" w:cs="仿宋"/>
          <w:kern w:val="2"/>
          <w:sz w:val="32"/>
          <w:szCs w:val="32"/>
          <w:lang w:val="en-US" w:eastAsia="zh-CN" w:bidi="ar-SA"/>
        </w:rPr>
        <w:t>积极开展人才引进。2021年采取公开招聘的方式招聘专业技术人员115名，其中高学历和高层次卫生专业技术人员20人，本科及以下卫生专业技术人员95名。</w:t>
      </w:r>
    </w:p>
    <w:p>
      <w:pPr>
        <w:keepNext w:val="0"/>
        <w:keepLines w:val="0"/>
        <w:pageBreakBefore w:val="0"/>
        <w:widowControl w:val="0"/>
        <w:pBdr>
          <w:bottom w:val="single" w:color="FFFFFF" w:sz="4" w:space="31"/>
        </w:pBdr>
        <w:tabs>
          <w:tab w:val="left" w:pos="1440"/>
        </w:tabs>
        <w:kinsoku/>
        <w:wordWrap/>
        <w:topLinePunct w:val="0"/>
        <w:autoSpaceDE/>
        <w:autoSpaceDN/>
        <w:bidi w:val="0"/>
        <w:adjustRightInd w:val="0"/>
        <w:snapToGrid w:val="0"/>
        <w:spacing w:line="560" w:lineRule="exact"/>
        <w:ind w:firstLine="640"/>
        <w:contextualSpacing/>
        <w:textAlignment w:val="auto"/>
        <w:rPr>
          <w:rFonts w:hint="eastAsia" w:ascii="仿宋" w:hAnsi="仿宋" w:eastAsia="仿宋" w:cs="仿宋"/>
          <w:sz w:val="32"/>
          <w:szCs w:val="32"/>
          <w:highlight w:val="none"/>
        </w:rPr>
      </w:pPr>
      <w:r>
        <w:rPr>
          <w:rFonts w:hint="eastAsia" w:ascii="仿宋" w:hAnsi="仿宋" w:eastAsia="仿宋" w:cs="仿宋"/>
          <w:b/>
          <w:kern w:val="2"/>
          <w:sz w:val="32"/>
          <w:szCs w:val="32"/>
          <w:lang w:val="en-US" w:eastAsia="zh-CN" w:bidi="ar-SA"/>
        </w:rPr>
        <w:t>4</w:t>
      </w:r>
      <w:r>
        <w:rPr>
          <w:rFonts w:hint="eastAsia" w:ascii="仿宋" w:hAnsi="仿宋" w:eastAsia="仿宋" w:cs="仿宋"/>
          <w:b/>
          <w:color w:val="auto"/>
          <w:kern w:val="2"/>
          <w:sz w:val="32"/>
          <w:szCs w:val="32"/>
          <w:lang w:val="en-US" w:eastAsia="zh-CN" w:bidi="ar-SA"/>
        </w:rPr>
        <w:t>.</w:t>
      </w:r>
      <w:r>
        <w:rPr>
          <w:rFonts w:hint="eastAsia" w:ascii="仿宋" w:hAnsi="仿宋" w:eastAsia="仿宋" w:cs="仿宋"/>
          <w:b/>
          <w:bCs w:val="0"/>
          <w:color w:val="auto"/>
          <w:sz w:val="32"/>
          <w:szCs w:val="32"/>
          <w:lang w:eastAsia="zh-CN"/>
        </w:rPr>
        <w:t>稳步推进</w:t>
      </w:r>
      <w:r>
        <w:rPr>
          <w:rFonts w:hint="eastAsia" w:ascii="仿宋" w:hAnsi="仿宋" w:eastAsia="仿宋" w:cs="仿宋"/>
          <w:b/>
          <w:color w:val="auto"/>
          <w:kern w:val="2"/>
          <w:sz w:val="32"/>
          <w:szCs w:val="32"/>
          <w:lang w:val="en-US" w:eastAsia="zh-CN" w:bidi="ar-SA"/>
        </w:rPr>
        <w:t>卫生健康</w:t>
      </w:r>
      <w:r>
        <w:rPr>
          <w:rFonts w:hint="eastAsia" w:ascii="仿宋" w:hAnsi="仿宋" w:eastAsia="仿宋" w:cs="仿宋"/>
          <w:b/>
          <w:bCs w:val="0"/>
          <w:color w:val="auto"/>
          <w:sz w:val="32"/>
          <w:szCs w:val="32"/>
          <w:lang w:eastAsia="zh-CN"/>
        </w:rPr>
        <w:t>重点项目</w:t>
      </w:r>
      <w:r>
        <w:rPr>
          <w:rFonts w:hint="eastAsia" w:ascii="仿宋" w:hAnsi="仿宋" w:eastAsia="仿宋" w:cs="仿宋"/>
          <w:b/>
          <w:color w:val="auto"/>
          <w:kern w:val="2"/>
          <w:sz w:val="32"/>
          <w:szCs w:val="32"/>
          <w:lang w:val="en-US" w:eastAsia="zh-CN" w:bidi="ar-SA"/>
        </w:rPr>
        <w:t>。</w:t>
      </w:r>
      <w:r>
        <w:rPr>
          <w:rFonts w:hint="eastAsia" w:ascii="仿宋" w:hAnsi="仿宋" w:eastAsia="仿宋" w:cs="仿宋"/>
          <w:b/>
          <w:bCs/>
          <w:color w:val="auto"/>
          <w:sz w:val="32"/>
          <w:szCs w:val="32"/>
          <w:lang w:eastAsia="zh-CN"/>
        </w:rPr>
        <w:t>一是</w:t>
      </w:r>
      <w:r>
        <w:rPr>
          <w:rFonts w:hint="eastAsia" w:ascii="仿宋" w:hAnsi="仿宋" w:eastAsia="仿宋" w:cs="仿宋"/>
          <w:sz w:val="32"/>
          <w:szCs w:val="32"/>
          <w:lang w:eastAsia="zh-CN"/>
        </w:rPr>
        <w:t>投资</w:t>
      </w:r>
      <w:r>
        <w:rPr>
          <w:rFonts w:hint="eastAsia" w:ascii="仿宋" w:hAnsi="仿宋" w:eastAsia="仿宋" w:cs="仿宋"/>
          <w:sz w:val="32"/>
          <w:szCs w:val="32"/>
          <w:lang w:val="en-US" w:eastAsia="zh-CN"/>
        </w:rPr>
        <w:t>8200万元建设</w:t>
      </w:r>
      <w:r>
        <w:rPr>
          <w:rFonts w:hint="eastAsia" w:ascii="仿宋" w:hAnsi="仿宋" w:eastAsia="仿宋" w:cs="仿宋"/>
          <w:sz w:val="32"/>
          <w:szCs w:val="32"/>
        </w:rPr>
        <w:t>湘乡市人民医院棋梓分院</w:t>
      </w:r>
      <w:r>
        <w:rPr>
          <w:rFonts w:hint="eastAsia" w:ascii="仿宋" w:hAnsi="仿宋" w:eastAsia="仿宋" w:cs="仿宋"/>
          <w:sz w:val="32"/>
          <w:szCs w:val="32"/>
          <w:lang w:eastAsia="zh-CN"/>
        </w:rPr>
        <w:t>，已完成整体搬迁</w:t>
      </w:r>
      <w:r>
        <w:rPr>
          <w:rFonts w:hint="eastAsia" w:ascii="仿宋" w:hAnsi="仿宋" w:eastAsia="仿宋" w:cs="仿宋"/>
          <w:sz w:val="32"/>
          <w:szCs w:val="32"/>
          <w:lang w:val="en-US" w:eastAsia="zh-CN"/>
        </w:rPr>
        <w:t>。</w:t>
      </w:r>
      <w:r>
        <w:rPr>
          <w:rFonts w:hint="eastAsia" w:ascii="仿宋" w:hAnsi="仿宋" w:eastAsia="仿宋" w:cs="仿宋"/>
          <w:b/>
          <w:bCs/>
          <w:sz w:val="32"/>
          <w:szCs w:val="32"/>
          <w:lang w:eastAsia="zh-CN"/>
        </w:rPr>
        <w:t>二是</w:t>
      </w:r>
      <w:r>
        <w:rPr>
          <w:rFonts w:hint="eastAsia" w:ascii="仿宋" w:hAnsi="仿宋" w:eastAsia="仿宋" w:cs="仿宋"/>
          <w:sz w:val="32"/>
          <w:szCs w:val="32"/>
          <w:lang w:eastAsia="zh-CN"/>
        </w:rPr>
        <w:t>加强公共卫生基础设施建设。按照“平战结合”的要求，</w:t>
      </w:r>
      <w:r>
        <w:rPr>
          <w:rFonts w:hint="eastAsia" w:ascii="仿宋" w:hAnsi="仿宋" w:eastAsia="仿宋" w:cs="仿宋"/>
          <w:color w:val="000000"/>
          <w:kern w:val="0"/>
          <w:sz w:val="32"/>
          <w:szCs w:val="32"/>
          <w:lang w:eastAsia="zh-CN"/>
        </w:rPr>
        <w:t>投资</w:t>
      </w:r>
      <w:r>
        <w:rPr>
          <w:rFonts w:hint="eastAsia" w:ascii="仿宋" w:hAnsi="仿宋" w:eastAsia="仿宋" w:cs="仿宋"/>
          <w:color w:val="000000"/>
          <w:kern w:val="0"/>
          <w:sz w:val="32"/>
          <w:szCs w:val="32"/>
          <w:lang w:val="en-US" w:eastAsia="zh-CN"/>
        </w:rPr>
        <w:t>1780万元</w:t>
      </w:r>
      <w:r>
        <w:rPr>
          <w:rFonts w:hint="eastAsia" w:ascii="仿宋" w:hAnsi="仿宋" w:eastAsia="仿宋" w:cs="仿宋"/>
          <w:color w:val="000000"/>
          <w:kern w:val="0"/>
          <w:sz w:val="32"/>
          <w:szCs w:val="32"/>
          <w:lang w:eastAsia="zh-CN"/>
        </w:rPr>
        <w:t>建设湘乡市临床公共卫生服务中心，新建相对独立的传染病防治区；对</w:t>
      </w:r>
      <w:r>
        <w:rPr>
          <w:rFonts w:hint="eastAsia" w:ascii="仿宋" w:hAnsi="仿宋" w:eastAsia="仿宋" w:cs="仿宋"/>
          <w:color w:val="000000"/>
          <w:kern w:val="0"/>
          <w:sz w:val="32"/>
          <w:szCs w:val="32"/>
        </w:rPr>
        <w:t>市疾控中</w:t>
      </w:r>
      <w:r>
        <w:rPr>
          <w:rFonts w:hint="eastAsia" w:ascii="仿宋" w:hAnsi="仿宋" w:eastAsia="仿宋" w:cs="仿宋"/>
          <w:sz w:val="32"/>
          <w:szCs w:val="32"/>
        </w:rPr>
        <w:t>心实验室提质改造</w:t>
      </w:r>
      <w:r>
        <w:rPr>
          <w:rFonts w:hint="eastAsia" w:ascii="仿宋" w:hAnsi="仿宋" w:eastAsia="仿宋" w:cs="仿宋"/>
          <w:sz w:val="32"/>
          <w:szCs w:val="32"/>
          <w:lang w:eastAsia="zh-CN"/>
        </w:rPr>
        <w:t>，</w:t>
      </w:r>
      <w:r>
        <w:rPr>
          <w:rFonts w:hint="eastAsia" w:ascii="仿宋" w:hAnsi="仿宋" w:eastAsia="仿宋" w:cs="仿宋"/>
          <w:color w:val="000000"/>
          <w:kern w:val="0"/>
          <w:sz w:val="32"/>
          <w:szCs w:val="32"/>
          <w:lang w:eastAsia="zh-CN"/>
        </w:rPr>
        <w:t>积极有效应对突发公共卫生事件；</w:t>
      </w:r>
      <w:r>
        <w:rPr>
          <w:rFonts w:hint="eastAsia" w:ascii="仿宋" w:hAnsi="仿宋" w:eastAsia="仿宋" w:cs="仿宋"/>
          <w:color w:val="000000"/>
          <w:kern w:val="0"/>
          <w:sz w:val="32"/>
          <w:szCs w:val="32"/>
        </w:rPr>
        <w:t>安排</w:t>
      </w:r>
      <w:r>
        <w:rPr>
          <w:rFonts w:hint="eastAsia" w:ascii="仿宋" w:hAnsi="仿宋" w:eastAsia="仿宋" w:cs="仿宋"/>
          <w:color w:val="000000"/>
          <w:kern w:val="0"/>
          <w:sz w:val="32"/>
          <w:szCs w:val="32"/>
          <w:lang w:val="en-US" w:eastAsia="zh-CN"/>
        </w:rPr>
        <w:t>1100</w:t>
      </w:r>
      <w:r>
        <w:rPr>
          <w:rFonts w:hint="eastAsia" w:ascii="仿宋" w:hAnsi="仿宋" w:eastAsia="仿宋" w:cs="仿宋"/>
          <w:color w:val="000000"/>
          <w:kern w:val="0"/>
          <w:sz w:val="32"/>
          <w:szCs w:val="32"/>
        </w:rPr>
        <w:t>万元专项经费用于改善</w:t>
      </w:r>
      <w:r>
        <w:rPr>
          <w:rFonts w:hint="eastAsia" w:ascii="仿宋" w:hAnsi="仿宋" w:eastAsia="仿宋" w:cs="仿宋"/>
          <w:color w:val="000000"/>
          <w:kern w:val="0"/>
          <w:sz w:val="32"/>
          <w:szCs w:val="32"/>
          <w:highlight w:val="none"/>
        </w:rPr>
        <w:t>乡镇卫生院基础设施，支持</w:t>
      </w:r>
      <w:r>
        <w:rPr>
          <w:rFonts w:hint="eastAsia" w:ascii="仿宋" w:hAnsi="仿宋" w:eastAsia="仿宋" w:cs="仿宋"/>
          <w:color w:val="000000"/>
          <w:kern w:val="0"/>
          <w:sz w:val="32"/>
          <w:szCs w:val="32"/>
          <w:highlight w:val="none"/>
          <w:lang w:eastAsia="zh-CN"/>
        </w:rPr>
        <w:t>白田</w:t>
      </w:r>
      <w:r>
        <w:rPr>
          <w:rFonts w:hint="eastAsia" w:ascii="仿宋" w:hAnsi="仿宋" w:eastAsia="仿宋" w:cs="仿宋"/>
          <w:color w:val="000000"/>
          <w:kern w:val="0"/>
          <w:sz w:val="32"/>
          <w:szCs w:val="32"/>
          <w:highlight w:val="none"/>
        </w:rPr>
        <w:t>、</w:t>
      </w:r>
      <w:r>
        <w:rPr>
          <w:rFonts w:hint="eastAsia" w:ascii="仿宋" w:hAnsi="仿宋" w:eastAsia="仿宋" w:cs="仿宋"/>
          <w:color w:val="000000"/>
          <w:kern w:val="0"/>
          <w:sz w:val="32"/>
          <w:szCs w:val="32"/>
          <w:highlight w:val="none"/>
          <w:lang w:eastAsia="zh-CN"/>
        </w:rPr>
        <w:t>翻江</w:t>
      </w:r>
      <w:r>
        <w:rPr>
          <w:rFonts w:hint="eastAsia" w:ascii="仿宋" w:hAnsi="仿宋" w:eastAsia="仿宋" w:cs="仿宋"/>
          <w:color w:val="000000"/>
          <w:kern w:val="0"/>
          <w:sz w:val="32"/>
          <w:szCs w:val="32"/>
          <w:highlight w:val="none"/>
        </w:rPr>
        <w:t>等乡镇卫生院达标创建</w:t>
      </w:r>
      <w:r>
        <w:rPr>
          <w:rFonts w:hint="eastAsia" w:ascii="仿宋" w:hAnsi="仿宋" w:eastAsia="仿宋" w:cs="仿宋"/>
          <w:color w:val="000000"/>
          <w:kern w:val="0"/>
          <w:sz w:val="32"/>
          <w:szCs w:val="32"/>
          <w:highlight w:val="none"/>
          <w:lang w:eastAsia="zh-CN"/>
        </w:rPr>
        <w:t>。</w:t>
      </w:r>
      <w:r>
        <w:rPr>
          <w:rFonts w:hint="eastAsia" w:ascii="仿宋" w:hAnsi="仿宋" w:eastAsia="仿宋" w:cs="仿宋"/>
          <w:b/>
          <w:bCs/>
          <w:color w:val="000000"/>
          <w:kern w:val="0"/>
          <w:sz w:val="32"/>
          <w:szCs w:val="32"/>
          <w:highlight w:val="none"/>
          <w:lang w:eastAsia="zh-CN"/>
        </w:rPr>
        <w:t>三是</w:t>
      </w:r>
      <w:r>
        <w:rPr>
          <w:rFonts w:hint="eastAsia" w:ascii="仿宋" w:hAnsi="仿宋" w:eastAsia="仿宋" w:cs="仿宋"/>
          <w:sz w:val="32"/>
          <w:szCs w:val="32"/>
          <w:highlight w:val="none"/>
          <w:lang w:val="en-US" w:eastAsia="zh-CN"/>
        </w:rPr>
        <w:t>配合推进健康产业园建设。</w:t>
      </w:r>
      <w:r>
        <w:rPr>
          <w:rFonts w:hint="eastAsia" w:ascii="仿宋" w:hAnsi="仿宋" w:eastAsia="仿宋" w:cs="仿宋"/>
          <w:sz w:val="32"/>
          <w:szCs w:val="32"/>
          <w:highlight w:val="none"/>
        </w:rPr>
        <w:t>项目选址城北先导区</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位于大将路以东、龙城大道以北、韶山灌渠以南，拟规划用地</w:t>
      </w:r>
      <w:r>
        <w:rPr>
          <w:rFonts w:hint="eastAsia" w:ascii="仿宋" w:hAnsi="仿宋" w:eastAsia="仿宋" w:cs="仿宋"/>
          <w:sz w:val="32"/>
          <w:szCs w:val="32"/>
          <w:highlight w:val="none"/>
          <w:lang w:val="en-US" w:eastAsia="zh-CN"/>
        </w:rPr>
        <w:t>300余</w:t>
      </w:r>
      <w:r>
        <w:rPr>
          <w:rFonts w:hint="eastAsia" w:ascii="仿宋" w:hAnsi="仿宋" w:eastAsia="仿宋" w:cs="仿宋"/>
          <w:sz w:val="32"/>
          <w:szCs w:val="32"/>
          <w:highlight w:val="none"/>
        </w:rPr>
        <w:t>亩</w:t>
      </w:r>
      <w:r>
        <w:rPr>
          <w:rFonts w:hint="eastAsia" w:ascii="仿宋" w:hAnsi="仿宋" w:eastAsia="仿宋" w:cs="仿宋"/>
          <w:sz w:val="32"/>
          <w:szCs w:val="32"/>
          <w:highlight w:val="none"/>
          <w:lang w:eastAsia="zh-CN"/>
        </w:rPr>
        <w:t>，高标准建设人民医院分院，具备医、养、防相结合的功能，更好地为全市老百姓健康服务</w:t>
      </w:r>
      <w:r>
        <w:rPr>
          <w:rFonts w:hint="eastAsia" w:ascii="仿宋" w:hAnsi="仿宋" w:eastAsia="仿宋" w:cs="仿宋"/>
          <w:sz w:val="32"/>
          <w:szCs w:val="32"/>
          <w:highlight w:val="none"/>
        </w:rPr>
        <w:t>。</w:t>
      </w:r>
    </w:p>
    <w:p>
      <w:pPr>
        <w:keepNext w:val="0"/>
        <w:keepLines w:val="0"/>
        <w:pageBreakBefore w:val="0"/>
        <w:widowControl w:val="0"/>
        <w:pBdr>
          <w:bottom w:val="single" w:color="FFFFFF" w:sz="4" w:space="31"/>
        </w:pBdr>
        <w:tabs>
          <w:tab w:val="left" w:pos="1440"/>
        </w:tabs>
        <w:kinsoku/>
        <w:wordWrap/>
        <w:topLinePunct w:val="0"/>
        <w:autoSpaceDE/>
        <w:autoSpaceDN/>
        <w:bidi w:val="0"/>
        <w:adjustRightInd w:val="0"/>
        <w:snapToGrid w:val="0"/>
        <w:spacing w:line="560" w:lineRule="exact"/>
        <w:ind w:firstLine="640"/>
        <w:contextualSpacing/>
        <w:textAlignment w:val="auto"/>
        <w:rPr>
          <w:rFonts w:hint="eastAsia" w:ascii="仿宋" w:hAnsi="仿宋" w:eastAsia="仿宋" w:cs="仿宋"/>
          <w:b w:val="0"/>
          <w:bCs w:val="0"/>
          <w:sz w:val="32"/>
          <w:szCs w:val="32"/>
          <w:lang w:val="en-US" w:eastAsia="zh-CN"/>
        </w:rPr>
      </w:pPr>
      <w:r>
        <w:rPr>
          <w:rFonts w:hint="eastAsia" w:ascii="仿宋" w:hAnsi="仿宋" w:eastAsia="仿宋" w:cs="仿宋"/>
          <w:b/>
          <w:kern w:val="2"/>
          <w:sz w:val="32"/>
          <w:szCs w:val="32"/>
          <w:lang w:val="en-US" w:eastAsia="zh-CN" w:bidi="ar-SA"/>
        </w:rPr>
        <w:t>5.圆满完成健康扶贫任务。</w:t>
      </w:r>
      <w:r>
        <w:rPr>
          <w:rFonts w:hint="eastAsia" w:ascii="仿宋" w:hAnsi="仿宋" w:eastAsia="仿宋" w:cs="仿宋"/>
          <w:b/>
          <w:bCs/>
          <w:sz w:val="32"/>
          <w:szCs w:val="32"/>
          <w:lang w:val="en-US" w:eastAsia="zh-CN"/>
        </w:rPr>
        <w:t>一是</w:t>
      </w:r>
      <w:r>
        <w:rPr>
          <w:rFonts w:hint="eastAsia" w:ascii="仿宋" w:hAnsi="仿宋" w:eastAsia="仿宋" w:cs="仿宋"/>
          <w:b w:val="0"/>
          <w:bCs w:val="0"/>
          <w:sz w:val="32"/>
          <w:szCs w:val="32"/>
          <w:lang w:val="en-US" w:eastAsia="zh-CN"/>
        </w:rPr>
        <w:t>2021年共核实核准农村建档立卡贫困人口罹患33种大病患者5058人，建立了工作台账，累计住院治疗和签约管理5058人，33种大病专项救治率100%。</w:t>
      </w:r>
      <w:r>
        <w:rPr>
          <w:rFonts w:hint="eastAsia" w:ascii="仿宋" w:hAnsi="仿宋" w:eastAsia="仿宋" w:cs="仿宋"/>
          <w:b/>
          <w:bCs/>
          <w:sz w:val="32"/>
          <w:szCs w:val="32"/>
          <w:lang w:val="en-US" w:eastAsia="zh-CN"/>
        </w:rPr>
        <w:t>二是</w:t>
      </w:r>
      <w:r>
        <w:rPr>
          <w:rFonts w:hint="eastAsia" w:ascii="仿宋" w:hAnsi="仿宋" w:eastAsia="仿宋" w:cs="仿宋"/>
          <w:b w:val="0"/>
          <w:bCs w:val="0"/>
          <w:sz w:val="32"/>
          <w:szCs w:val="32"/>
          <w:lang w:val="en-US" w:eastAsia="zh-CN"/>
        </w:rPr>
        <w:t>贫困人口家庭医生签约服务全覆盖，做到了“应签尽签、应管尽管”，签约服务率100%。</w:t>
      </w:r>
      <w:r>
        <w:rPr>
          <w:rFonts w:hint="eastAsia" w:ascii="仿宋" w:hAnsi="仿宋" w:eastAsia="仿宋" w:cs="仿宋"/>
          <w:b/>
          <w:bCs/>
          <w:sz w:val="32"/>
          <w:szCs w:val="32"/>
          <w:lang w:val="en-US" w:eastAsia="zh-CN"/>
        </w:rPr>
        <w:t>三是</w:t>
      </w:r>
      <w:r>
        <w:rPr>
          <w:rFonts w:hint="eastAsia" w:ascii="仿宋" w:hAnsi="仿宋" w:eastAsia="仿宋" w:cs="仿宋"/>
          <w:b w:val="0"/>
          <w:bCs w:val="0"/>
          <w:sz w:val="32"/>
          <w:szCs w:val="32"/>
          <w:lang w:val="en-US" w:eastAsia="zh-CN"/>
        </w:rPr>
        <w:t>全市36家定点医疗机构均设立健康扶贫“一站式”结算窗口，提供“一站式”结算服务，全面落实了“先诊疗后付费”制度。2021年共有20006人次县域内住院享受了先诊疗后付费政策福利。</w:t>
      </w:r>
    </w:p>
    <w:p>
      <w:pPr>
        <w:keepNext w:val="0"/>
        <w:keepLines w:val="0"/>
        <w:pageBreakBefore w:val="0"/>
        <w:widowControl w:val="0"/>
        <w:pBdr>
          <w:bottom w:val="single" w:color="FFFFFF" w:sz="4" w:space="31"/>
        </w:pBdr>
        <w:tabs>
          <w:tab w:val="left" w:pos="1440"/>
        </w:tabs>
        <w:kinsoku/>
        <w:wordWrap/>
        <w:topLinePunct w:val="0"/>
        <w:autoSpaceDE/>
        <w:autoSpaceDN/>
        <w:bidi w:val="0"/>
        <w:adjustRightInd w:val="0"/>
        <w:snapToGrid w:val="0"/>
        <w:spacing w:line="560" w:lineRule="exact"/>
        <w:ind w:firstLine="640"/>
        <w:contextualSpacing/>
        <w:textAlignment w:val="auto"/>
        <w:rPr>
          <w:rFonts w:hint="eastAsia" w:ascii="仿宋" w:hAnsi="仿宋" w:eastAsia="仿宋" w:cs="仿宋"/>
          <w:b w:val="0"/>
          <w:bCs w:val="0"/>
          <w:sz w:val="32"/>
          <w:szCs w:val="32"/>
          <w:highlight w:val="none"/>
          <w:lang w:val="en-US" w:eastAsia="zh-CN"/>
        </w:rPr>
      </w:pPr>
      <w:r>
        <w:rPr>
          <w:rFonts w:hint="eastAsia" w:ascii="仿宋" w:hAnsi="仿宋" w:eastAsia="仿宋" w:cs="仿宋"/>
          <w:b/>
          <w:kern w:val="2"/>
          <w:sz w:val="32"/>
          <w:szCs w:val="32"/>
          <w:lang w:val="en-US" w:eastAsia="zh-CN" w:bidi="ar-SA"/>
        </w:rPr>
        <w:t>6.扎实办好重点民生实事。</w:t>
      </w:r>
      <w:r>
        <w:rPr>
          <w:rFonts w:hint="eastAsia" w:ascii="仿宋" w:hAnsi="仿宋" w:eastAsia="仿宋" w:cs="仿宋"/>
          <w:b/>
          <w:kern w:val="2"/>
          <w:sz w:val="32"/>
          <w:szCs w:val="32"/>
          <w:highlight w:val="none"/>
          <w:lang w:val="en-US" w:eastAsia="zh-CN" w:bidi="ar-SA"/>
        </w:rPr>
        <w:t xml:space="preserve"> </w:t>
      </w:r>
      <w:r>
        <w:rPr>
          <w:rFonts w:hint="eastAsia" w:ascii="仿宋" w:hAnsi="仿宋" w:eastAsia="仿宋" w:cs="仿宋"/>
          <w:b w:val="0"/>
          <w:bCs w:val="0"/>
          <w:sz w:val="32"/>
          <w:szCs w:val="32"/>
          <w:highlight w:val="none"/>
          <w:lang w:val="en-US" w:eastAsia="zh-CN"/>
        </w:rPr>
        <w:t>2021年，市卫健局承担省、湘潭市、湘乡市重点民生实事项目8项，全部完成或超额完成任务。完成孕产妇免费产前筛查3900人；救治救助严重精神障碍患者292人；免费开展艾滋病检测64349例（筛查阳性7例）；配套村卫生室运行经费178.2万元；扶助60周岁以上失独老人321人；完成乡级预防接种门诊数字化建设与儿童保健门诊规范化建设17家；所有建制乡镇医院2名全科医生全覆盖；新生儿遗传代谢病筛查实现全覆盖。</w:t>
      </w:r>
    </w:p>
    <w:p>
      <w:pPr>
        <w:keepNext w:val="0"/>
        <w:keepLines w:val="0"/>
        <w:pageBreakBefore w:val="0"/>
        <w:widowControl w:val="0"/>
        <w:pBdr>
          <w:bottom w:val="single" w:color="FFFFFF" w:sz="4" w:space="31"/>
        </w:pBdr>
        <w:tabs>
          <w:tab w:val="left" w:pos="1440"/>
        </w:tabs>
        <w:kinsoku/>
        <w:wordWrap/>
        <w:topLinePunct w:val="0"/>
        <w:autoSpaceDE/>
        <w:autoSpaceDN/>
        <w:bidi w:val="0"/>
        <w:adjustRightInd w:val="0"/>
        <w:snapToGrid w:val="0"/>
        <w:spacing w:line="560" w:lineRule="exact"/>
        <w:ind w:firstLine="640"/>
        <w:contextualSpacing/>
        <w:textAlignment w:val="auto"/>
        <w:rPr>
          <w:rStyle w:val="20"/>
          <w:rFonts w:hint="eastAsia" w:ascii="仿宋" w:hAnsi="仿宋" w:eastAsia="仿宋" w:cs="仿宋"/>
          <w:color w:val="000000"/>
          <w:kern w:val="2"/>
          <w:sz w:val="32"/>
          <w:szCs w:val="32"/>
          <w:lang w:val="en-US" w:eastAsia="zh-CN" w:bidi="ar-SA"/>
        </w:rPr>
      </w:pPr>
      <w:r>
        <w:rPr>
          <w:rFonts w:hint="eastAsia" w:ascii="仿宋" w:hAnsi="仿宋" w:eastAsia="仿宋" w:cs="仿宋"/>
          <w:b/>
          <w:bCs/>
          <w:sz w:val="32"/>
          <w:szCs w:val="32"/>
          <w:lang w:val="en-US" w:eastAsia="zh-CN"/>
        </w:rPr>
        <w:t>7.持续推进爱国卫生工作。</w:t>
      </w:r>
      <w:r>
        <w:rPr>
          <w:rStyle w:val="20"/>
          <w:rFonts w:hint="eastAsia" w:ascii="仿宋" w:hAnsi="仿宋" w:eastAsia="仿宋" w:cs="仿宋"/>
          <w:kern w:val="2"/>
          <w:sz w:val="32"/>
          <w:szCs w:val="32"/>
          <w:lang w:val="en-US" w:eastAsia="zh-CN" w:bidi="ar-SA"/>
        </w:rPr>
        <w:t>积极</w:t>
      </w:r>
      <w:r>
        <w:rPr>
          <w:rStyle w:val="20"/>
          <w:rFonts w:hint="eastAsia" w:ascii="仿宋" w:hAnsi="仿宋" w:eastAsia="仿宋" w:cs="仿宋"/>
          <w:color w:val="000000"/>
          <w:kern w:val="2"/>
          <w:sz w:val="32"/>
          <w:szCs w:val="32"/>
          <w:lang w:val="en-US" w:eastAsia="zh-CN" w:bidi="ar-SA"/>
        </w:rPr>
        <w:t>贯彻落实习近平总书记关于“深入开展爱国卫生运动”的重要讲话和指示精神，</w:t>
      </w:r>
      <w:r>
        <w:rPr>
          <w:rStyle w:val="20"/>
          <w:rFonts w:hint="eastAsia" w:ascii="仿宋" w:hAnsi="仿宋" w:eastAsia="仿宋" w:cs="仿宋"/>
          <w:b w:val="0"/>
          <w:bCs w:val="0"/>
          <w:kern w:val="2"/>
          <w:sz w:val="32"/>
          <w:szCs w:val="32"/>
          <w:lang w:val="en-US" w:eastAsia="zh-CN" w:bidi="ar-SA"/>
        </w:rPr>
        <w:t>以卫生创建、</w:t>
      </w:r>
      <w:r>
        <w:rPr>
          <w:rStyle w:val="20"/>
          <w:rFonts w:hint="eastAsia" w:ascii="仿宋" w:hAnsi="仿宋" w:eastAsia="仿宋" w:cs="仿宋"/>
          <w:color w:val="000000"/>
          <w:kern w:val="2"/>
          <w:sz w:val="32"/>
          <w:szCs w:val="32"/>
          <w:lang w:val="en-US" w:eastAsia="zh-CN" w:bidi="ar-SA"/>
        </w:rPr>
        <w:t>鼠密度控制水平达标与巩固省级卫生城市复审迎检</w:t>
      </w:r>
      <w:r>
        <w:rPr>
          <w:rStyle w:val="20"/>
          <w:rFonts w:hint="eastAsia" w:ascii="仿宋" w:hAnsi="仿宋" w:eastAsia="仿宋" w:cs="仿宋"/>
          <w:b w:val="0"/>
          <w:bCs w:val="0"/>
          <w:kern w:val="2"/>
          <w:sz w:val="32"/>
          <w:szCs w:val="32"/>
          <w:lang w:val="en-US" w:eastAsia="zh-CN" w:bidi="ar-SA"/>
        </w:rPr>
        <w:t>为抓手，充分发挥群众运动的优势，</w:t>
      </w:r>
      <w:r>
        <w:rPr>
          <w:rStyle w:val="20"/>
          <w:rFonts w:hint="eastAsia" w:ascii="仿宋" w:hAnsi="仿宋" w:eastAsia="仿宋" w:cs="仿宋"/>
          <w:color w:val="000000"/>
          <w:kern w:val="2"/>
          <w:sz w:val="32"/>
          <w:szCs w:val="32"/>
          <w:lang w:val="en-US" w:eastAsia="zh-CN" w:bidi="ar-SA"/>
        </w:rPr>
        <w:t>切实加强爱卫组织管理、爱卫宣传、卫生创建、健康教育与控烟、病媒生物防制和人居环境整治工作，</w:t>
      </w:r>
      <w:r>
        <w:rPr>
          <w:rFonts w:hint="eastAsia" w:ascii="仿宋" w:hAnsi="仿宋" w:eastAsia="仿宋" w:cs="仿宋"/>
          <w:sz w:val="32"/>
          <w:szCs w:val="32"/>
          <w:lang w:eastAsia="zh-CN"/>
        </w:rPr>
        <w:t>组织开展冬春季爱国卫生运动，</w:t>
      </w:r>
      <w:r>
        <w:rPr>
          <w:rStyle w:val="20"/>
          <w:rFonts w:hint="eastAsia" w:ascii="仿宋" w:hAnsi="仿宋" w:eastAsia="仿宋" w:cs="仿宋"/>
          <w:color w:val="000000"/>
          <w:kern w:val="2"/>
          <w:sz w:val="32"/>
          <w:szCs w:val="32"/>
          <w:lang w:val="en-US" w:eastAsia="zh-CN" w:bidi="ar-SA"/>
        </w:rPr>
        <w:t>持续推进新时代爱国卫生工作，为新冠肺炎疫情防控发挥了积极的作用。</w:t>
      </w:r>
      <w:r>
        <w:rPr>
          <w:rFonts w:hint="eastAsia" w:ascii="仿宋" w:hAnsi="仿宋" w:eastAsia="仿宋" w:cs="仿宋"/>
          <w:sz w:val="32"/>
          <w:szCs w:val="32"/>
        </w:rPr>
        <w:t>202</w:t>
      </w:r>
      <w:r>
        <w:rPr>
          <w:rFonts w:hint="eastAsia" w:ascii="仿宋" w:hAnsi="仿宋" w:eastAsia="仿宋" w:cs="仿宋"/>
          <w:sz w:val="32"/>
          <w:szCs w:val="32"/>
          <w:lang w:val="en-US" w:eastAsia="zh-CN"/>
        </w:rPr>
        <w:t>1</w:t>
      </w:r>
      <w:r>
        <w:rPr>
          <w:rFonts w:hint="eastAsia" w:ascii="仿宋" w:hAnsi="仿宋" w:eastAsia="仿宋" w:cs="仿宋"/>
          <w:sz w:val="32"/>
          <w:szCs w:val="32"/>
        </w:rPr>
        <w:t>年，新</w:t>
      </w:r>
      <w:r>
        <w:rPr>
          <w:rFonts w:hint="eastAsia" w:ascii="仿宋" w:hAnsi="仿宋" w:eastAsia="仿宋" w:cs="仿宋"/>
          <w:sz w:val="32"/>
          <w:szCs w:val="32"/>
          <w:lang w:eastAsia="zh-CN"/>
        </w:rPr>
        <w:t>创</w:t>
      </w:r>
      <w:r>
        <w:rPr>
          <w:rFonts w:hint="eastAsia" w:ascii="仿宋" w:hAnsi="仿宋" w:eastAsia="仿宋" w:cs="仿宋"/>
          <w:sz w:val="32"/>
          <w:szCs w:val="32"/>
        </w:rPr>
        <w:t>湘潭市文明卫生单位1</w:t>
      </w:r>
      <w:r>
        <w:rPr>
          <w:rFonts w:hint="eastAsia" w:ascii="仿宋" w:hAnsi="仿宋" w:eastAsia="仿宋" w:cs="仿宋"/>
          <w:sz w:val="32"/>
          <w:szCs w:val="32"/>
          <w:lang w:val="en-US" w:eastAsia="zh-CN"/>
        </w:rPr>
        <w:t>1</w:t>
      </w:r>
      <w:r>
        <w:rPr>
          <w:rFonts w:hint="eastAsia" w:ascii="仿宋" w:hAnsi="仿宋" w:eastAsia="仿宋" w:cs="仿宋"/>
          <w:sz w:val="32"/>
          <w:szCs w:val="32"/>
        </w:rPr>
        <w:t>家、省级文明卫生单位37家、湘潭市无烟单位</w:t>
      </w:r>
      <w:r>
        <w:rPr>
          <w:rFonts w:hint="eastAsia" w:ascii="仿宋" w:hAnsi="仿宋" w:eastAsia="仿宋" w:cs="仿宋"/>
          <w:sz w:val="32"/>
          <w:szCs w:val="32"/>
          <w:lang w:val="en-US" w:eastAsia="zh-CN"/>
        </w:rPr>
        <w:t>11</w:t>
      </w:r>
      <w:r>
        <w:rPr>
          <w:rFonts w:hint="eastAsia" w:ascii="仿宋" w:hAnsi="仿宋" w:eastAsia="仿宋" w:cs="仿宋"/>
          <w:sz w:val="32"/>
          <w:szCs w:val="32"/>
        </w:rPr>
        <w:t>家、湘潭市卫生村</w:t>
      </w:r>
      <w:r>
        <w:rPr>
          <w:rFonts w:hint="eastAsia" w:ascii="仿宋" w:hAnsi="仿宋" w:eastAsia="仿宋" w:cs="仿宋"/>
          <w:sz w:val="32"/>
          <w:szCs w:val="32"/>
          <w:lang w:val="en-US" w:eastAsia="zh-CN"/>
        </w:rPr>
        <w:t>3</w:t>
      </w:r>
      <w:r>
        <w:rPr>
          <w:rFonts w:hint="eastAsia" w:ascii="仿宋" w:hAnsi="仿宋" w:eastAsia="仿宋" w:cs="仿宋"/>
          <w:sz w:val="32"/>
          <w:szCs w:val="32"/>
        </w:rPr>
        <w:t>个</w:t>
      </w:r>
      <w:r>
        <w:rPr>
          <w:rFonts w:hint="eastAsia" w:ascii="仿宋" w:hAnsi="仿宋" w:eastAsia="仿宋" w:cs="仿宋"/>
          <w:sz w:val="32"/>
          <w:szCs w:val="32"/>
          <w:lang w:eastAsia="zh-CN"/>
        </w:rPr>
        <w:t>；复审省级文明卫生单位</w:t>
      </w:r>
      <w:r>
        <w:rPr>
          <w:rFonts w:hint="eastAsia" w:ascii="仿宋" w:hAnsi="仿宋" w:eastAsia="仿宋" w:cs="仿宋"/>
          <w:sz w:val="32"/>
          <w:szCs w:val="32"/>
          <w:lang w:val="en-US" w:eastAsia="zh-CN"/>
        </w:rPr>
        <w:t>24家。目前，全市共有</w:t>
      </w:r>
      <w:r>
        <w:rPr>
          <w:rFonts w:hint="eastAsia" w:ascii="仿宋" w:hAnsi="仿宋" w:eastAsia="仿宋" w:cs="仿宋"/>
          <w:sz w:val="32"/>
          <w:szCs w:val="32"/>
        </w:rPr>
        <w:t>湘潭市文明卫生单位</w:t>
      </w:r>
      <w:r>
        <w:rPr>
          <w:rFonts w:hint="eastAsia" w:ascii="仿宋" w:hAnsi="仿宋" w:eastAsia="仿宋" w:cs="仿宋"/>
          <w:sz w:val="32"/>
          <w:szCs w:val="32"/>
          <w:lang w:val="en-US" w:eastAsia="zh-CN"/>
        </w:rPr>
        <w:t>27</w:t>
      </w:r>
      <w:r>
        <w:rPr>
          <w:rFonts w:hint="eastAsia" w:ascii="仿宋" w:hAnsi="仿宋" w:eastAsia="仿宋" w:cs="仿宋"/>
          <w:sz w:val="32"/>
          <w:szCs w:val="32"/>
        </w:rPr>
        <w:t>家、省级文明卫生单位</w:t>
      </w:r>
      <w:r>
        <w:rPr>
          <w:rFonts w:hint="eastAsia" w:ascii="仿宋" w:hAnsi="仿宋" w:eastAsia="仿宋" w:cs="仿宋"/>
          <w:sz w:val="32"/>
          <w:szCs w:val="32"/>
          <w:lang w:val="en-US" w:eastAsia="zh-CN"/>
        </w:rPr>
        <w:t>80</w:t>
      </w:r>
      <w:r>
        <w:rPr>
          <w:rFonts w:hint="eastAsia" w:ascii="仿宋" w:hAnsi="仿宋" w:eastAsia="仿宋" w:cs="仿宋"/>
          <w:sz w:val="32"/>
          <w:szCs w:val="32"/>
        </w:rPr>
        <w:t>家、湘潭市无烟单位109家、湘潭市卫生村</w:t>
      </w:r>
      <w:r>
        <w:rPr>
          <w:rFonts w:hint="eastAsia" w:ascii="仿宋" w:hAnsi="仿宋" w:eastAsia="仿宋" w:cs="仿宋"/>
          <w:sz w:val="32"/>
          <w:szCs w:val="32"/>
          <w:lang w:eastAsia="zh-CN"/>
        </w:rPr>
        <w:t>（社区）</w:t>
      </w:r>
      <w:r>
        <w:rPr>
          <w:rFonts w:hint="eastAsia" w:ascii="仿宋" w:hAnsi="仿宋" w:eastAsia="仿宋" w:cs="仿宋"/>
          <w:sz w:val="32"/>
          <w:szCs w:val="32"/>
          <w:lang w:val="en-US" w:eastAsia="zh-CN"/>
        </w:rPr>
        <w:t>12</w:t>
      </w:r>
      <w:r>
        <w:rPr>
          <w:rFonts w:hint="eastAsia" w:ascii="仿宋" w:hAnsi="仿宋" w:eastAsia="仿宋" w:cs="仿宋"/>
          <w:sz w:val="32"/>
          <w:szCs w:val="32"/>
        </w:rPr>
        <w:t>个</w:t>
      </w:r>
      <w:r>
        <w:rPr>
          <w:rFonts w:hint="eastAsia" w:ascii="仿宋" w:hAnsi="仿宋" w:eastAsia="仿宋" w:cs="仿宋"/>
          <w:sz w:val="32"/>
          <w:szCs w:val="32"/>
          <w:lang w:eastAsia="zh-CN"/>
        </w:rPr>
        <w:t>、</w:t>
      </w:r>
      <w:r>
        <w:rPr>
          <w:rFonts w:hint="eastAsia" w:ascii="仿宋" w:hAnsi="仿宋" w:eastAsia="仿宋" w:cs="仿宋"/>
          <w:sz w:val="32"/>
          <w:szCs w:val="32"/>
        </w:rPr>
        <w:t>省级卫生村</w:t>
      </w:r>
      <w:r>
        <w:rPr>
          <w:rFonts w:hint="eastAsia" w:ascii="仿宋" w:hAnsi="仿宋" w:eastAsia="仿宋" w:cs="仿宋"/>
          <w:sz w:val="32"/>
          <w:szCs w:val="32"/>
          <w:lang w:val="en-US" w:eastAsia="zh-CN"/>
        </w:rPr>
        <w:t>3</w:t>
      </w:r>
      <w:r>
        <w:rPr>
          <w:rFonts w:hint="eastAsia" w:ascii="仿宋" w:hAnsi="仿宋" w:eastAsia="仿宋" w:cs="仿宋"/>
          <w:sz w:val="32"/>
          <w:szCs w:val="32"/>
        </w:rPr>
        <w:t>个、</w:t>
      </w:r>
      <w:r>
        <w:rPr>
          <w:rFonts w:hint="eastAsia" w:ascii="仿宋" w:hAnsi="仿宋" w:eastAsia="仿宋" w:cs="仿宋"/>
          <w:sz w:val="32"/>
          <w:szCs w:val="32"/>
          <w:lang w:eastAsia="zh-CN"/>
        </w:rPr>
        <w:t>湘潭市</w:t>
      </w:r>
      <w:r>
        <w:rPr>
          <w:rFonts w:hint="eastAsia" w:ascii="仿宋" w:hAnsi="仿宋" w:eastAsia="仿宋" w:cs="仿宋"/>
          <w:sz w:val="32"/>
          <w:szCs w:val="32"/>
        </w:rPr>
        <w:t>卫生镇</w:t>
      </w:r>
      <w:r>
        <w:rPr>
          <w:rFonts w:hint="eastAsia" w:ascii="仿宋" w:hAnsi="仿宋" w:eastAsia="仿宋" w:cs="仿宋"/>
          <w:sz w:val="32"/>
          <w:szCs w:val="32"/>
          <w:lang w:val="en-US" w:eastAsia="zh-CN"/>
        </w:rPr>
        <w:t>2</w:t>
      </w:r>
      <w:r>
        <w:rPr>
          <w:rFonts w:hint="eastAsia" w:ascii="仿宋" w:hAnsi="仿宋" w:eastAsia="仿宋" w:cs="仿宋"/>
          <w:sz w:val="32"/>
          <w:szCs w:val="32"/>
        </w:rPr>
        <w:t>个。全年共</w:t>
      </w:r>
      <w:r>
        <w:rPr>
          <w:rFonts w:hint="eastAsia" w:ascii="仿宋" w:hAnsi="仿宋" w:eastAsia="仿宋" w:cs="仿宋"/>
          <w:sz w:val="32"/>
          <w:szCs w:val="32"/>
          <w:lang w:eastAsia="zh-CN"/>
        </w:rPr>
        <w:t>组织</w:t>
      </w:r>
      <w:r>
        <w:rPr>
          <w:rFonts w:hint="eastAsia" w:ascii="仿宋" w:hAnsi="仿宋" w:eastAsia="仿宋" w:cs="仿宋"/>
          <w:sz w:val="32"/>
          <w:szCs w:val="32"/>
        </w:rPr>
        <w:t>开展城乡环境卫生集中整治活动500余次，整治村庄（社区）90余个、整治市场5个、参与整治人数54277人次，开展病媒生物集中消杀投放鼠药10余吨，喷洒消杀药物5000余公斤。</w:t>
      </w:r>
      <w:r>
        <w:rPr>
          <w:rStyle w:val="20"/>
          <w:rFonts w:hint="eastAsia" w:ascii="仿宋" w:hAnsi="仿宋" w:eastAsia="仿宋" w:cs="仿宋"/>
          <w:color w:val="000000"/>
          <w:kern w:val="2"/>
          <w:sz w:val="32"/>
          <w:szCs w:val="32"/>
          <w:lang w:val="en-US" w:eastAsia="zh-CN" w:bidi="ar-SA"/>
        </w:rPr>
        <w:t>全市各级各单位在省级及以上主要媒体报道相关文章12篇、其他新媒体34篇。</w:t>
      </w:r>
    </w:p>
    <w:p>
      <w:pPr>
        <w:keepNext w:val="0"/>
        <w:keepLines w:val="0"/>
        <w:pageBreakBefore w:val="0"/>
        <w:widowControl w:val="0"/>
        <w:pBdr>
          <w:bottom w:val="single" w:color="FFFFFF" w:sz="4" w:space="31"/>
        </w:pBdr>
        <w:tabs>
          <w:tab w:val="left" w:pos="1440"/>
        </w:tabs>
        <w:kinsoku/>
        <w:wordWrap/>
        <w:topLinePunct w:val="0"/>
        <w:autoSpaceDE/>
        <w:autoSpaceDN/>
        <w:bidi w:val="0"/>
        <w:adjustRightInd w:val="0"/>
        <w:snapToGrid w:val="0"/>
        <w:spacing w:line="560" w:lineRule="exact"/>
        <w:ind w:firstLine="640"/>
        <w:contextualSpacing/>
        <w:textAlignment w:val="auto"/>
        <w:rPr>
          <w:rFonts w:hint="eastAsia" w:ascii="仿宋" w:hAnsi="仿宋" w:eastAsia="仿宋" w:cs="仿宋"/>
          <w:color w:val="auto"/>
          <w:sz w:val="32"/>
          <w:szCs w:val="32"/>
          <w:lang w:val="en-US" w:eastAsia="zh-CN"/>
        </w:rPr>
      </w:pPr>
      <w:r>
        <w:rPr>
          <w:rFonts w:hint="eastAsia" w:ascii="仿宋" w:hAnsi="仿宋" w:eastAsia="仿宋" w:cs="仿宋"/>
          <w:b/>
          <w:bCs/>
          <w:sz w:val="32"/>
          <w:szCs w:val="32"/>
          <w:lang w:val="en-US" w:eastAsia="zh-CN"/>
        </w:rPr>
        <w:t>8.积极开展执法监督。</w:t>
      </w:r>
      <w:r>
        <w:rPr>
          <w:rFonts w:hint="eastAsia" w:ascii="仿宋" w:hAnsi="仿宋" w:eastAsia="仿宋" w:cs="仿宋"/>
          <w:color w:val="auto"/>
          <w:sz w:val="32"/>
          <w:szCs w:val="32"/>
          <w:lang w:val="en-US" w:eastAsia="zh-CN"/>
        </w:rPr>
        <w:t>全年共开展打击非法行医、“两非”整治、尘肺危害专项执法等10个专项行动。立案查处案件共计36起，结案36起，罚款50多万元。其中查处非法行医案件18例，移送“涉黑”犯罪案件6起，公安机关立案6起，刑拘1人。联合市公安机关查处一起“医托”非法行医典型案件，罚没收入为52716元，这是《基本医疗卫生与健康促进法》自2021年6月实施以来，湘潭地区首个立案处罚的案件。</w:t>
      </w:r>
    </w:p>
    <w:p>
      <w:pPr>
        <w:keepNext w:val="0"/>
        <w:keepLines w:val="0"/>
        <w:pageBreakBefore w:val="0"/>
        <w:widowControl w:val="0"/>
        <w:pBdr>
          <w:bottom w:val="single" w:color="FFFFFF" w:sz="4" w:space="31"/>
        </w:pBdr>
        <w:tabs>
          <w:tab w:val="left" w:pos="1440"/>
        </w:tabs>
        <w:kinsoku/>
        <w:wordWrap/>
        <w:topLinePunct w:val="0"/>
        <w:autoSpaceDE/>
        <w:autoSpaceDN/>
        <w:bidi w:val="0"/>
        <w:adjustRightInd w:val="0"/>
        <w:snapToGrid w:val="0"/>
        <w:spacing w:line="560" w:lineRule="exact"/>
        <w:ind w:firstLine="640"/>
        <w:contextualSpacing/>
        <w:textAlignment w:val="auto"/>
        <w:rPr>
          <w:rFonts w:hint="eastAsia" w:ascii="仿宋" w:hAnsi="仿宋" w:eastAsia="仿宋" w:cs="仿宋"/>
          <w:sz w:val="32"/>
          <w:szCs w:val="32"/>
          <w:lang w:val="en-US" w:eastAsia="zh-CN"/>
        </w:rPr>
      </w:pPr>
      <w:r>
        <w:rPr>
          <w:rFonts w:hint="eastAsia" w:ascii="仿宋" w:hAnsi="仿宋" w:eastAsia="仿宋" w:cs="仿宋"/>
          <w:color w:val="auto"/>
          <w:sz w:val="32"/>
          <w:szCs w:val="32"/>
          <w:lang w:val="en-US" w:eastAsia="zh-CN"/>
        </w:rPr>
        <w:t>过去的一年，是极不平凡的一年。全市卫生健康系统团结一心，真抓实干，打赢了新冠肺炎疫情防控阻击战、健康扶贫攻坚战，医改工作获湘潭表彰，平安建设（综治工作）获评全市先进单位等。各项成绩的取得，离不开市委市政府的坚强领导，离不开各级各部门的关心支持，离不开在座各位的共同努力，借此机会，特向长期支持和关心卫生健康事业的各级领导、各个部门和各位同志表示衷心感谢！</w:t>
      </w:r>
      <w:r>
        <w:rPr>
          <w:rFonts w:hint="eastAsia" w:ascii="仿宋" w:hAnsi="仿宋" w:eastAsia="仿宋" w:cs="仿宋"/>
          <w:color w:val="auto"/>
          <w:sz w:val="32"/>
          <w:szCs w:val="32"/>
          <w:highlight w:val="none"/>
          <w:lang w:val="en-US" w:eastAsia="zh-CN"/>
        </w:rPr>
        <w:t>在肯定成绩的同时，我们也要清醒认识到当前新冠肺炎疫情防控仍未取得最终胜利，境外输入病例时有发生，国内防控局势依旧复杂，疫苗接种任务非常繁重。同时，</w:t>
      </w:r>
      <w:r>
        <w:rPr>
          <w:rFonts w:hint="eastAsia" w:ascii="仿宋" w:hAnsi="仿宋" w:eastAsia="仿宋" w:cs="仿宋"/>
          <w:color w:val="auto"/>
          <w:sz w:val="32"/>
          <w:szCs w:val="32"/>
          <w:lang w:val="en-US" w:eastAsia="zh-CN"/>
        </w:rPr>
        <w:t>我市卫生健康事业发展仍存在短板和弱项，</w:t>
      </w:r>
      <w:r>
        <w:rPr>
          <w:rFonts w:hint="eastAsia" w:ascii="仿宋" w:hAnsi="仿宋" w:eastAsia="仿宋" w:cs="仿宋"/>
          <w:color w:val="auto"/>
          <w:sz w:val="32"/>
          <w:szCs w:val="32"/>
          <w:highlight w:val="none"/>
          <w:lang w:val="en-US" w:eastAsia="zh-CN"/>
        </w:rPr>
        <w:t>市直医院技术、人才有待加强，基层医疗机构服务能力还很薄弱，医共体建设尚未纵深推进。</w:t>
      </w:r>
      <w:r>
        <w:rPr>
          <w:rFonts w:hint="eastAsia" w:ascii="仿宋" w:hAnsi="仿宋" w:eastAsia="仿宋" w:cs="仿宋"/>
          <w:color w:val="auto"/>
          <w:sz w:val="32"/>
          <w:szCs w:val="32"/>
          <w:lang w:val="en-US" w:eastAsia="zh-CN"/>
        </w:rPr>
        <w:t>对此，我们必须增强责任感、紧迫感，要沉下心来把脉诊断，找到症结，对症下药，开出根治良方，持续推动全市卫生健康事业长足发展。</w:t>
      </w:r>
    </w:p>
    <w:p>
      <w:pPr>
        <w:pStyle w:val="8"/>
        <w:widowControl/>
        <w:numPr>
          <w:ilvl w:val="0"/>
          <w:numId w:val="9"/>
        </w:numPr>
        <w:spacing w:before="156" w:beforeLines="50" w:after="156" w:afterLines="50"/>
        <w:jc w:val="center"/>
        <w:rPr>
          <w:rFonts w:hint="eastAsia" w:ascii="仿宋" w:hAnsi="仿宋" w:eastAsia="仿宋" w:cs="仿宋"/>
          <w:color w:val="auto"/>
          <w:sz w:val="32"/>
          <w:szCs w:val="32"/>
        </w:rPr>
      </w:pPr>
      <w:r>
        <w:rPr>
          <w:rFonts w:hint="eastAsia" w:ascii="仿宋" w:hAnsi="仿宋" w:eastAsia="仿宋" w:cs="仿宋"/>
          <w:color w:val="auto"/>
          <w:sz w:val="32"/>
          <w:szCs w:val="32"/>
        </w:rPr>
        <w:t>存在的主要问题</w:t>
      </w:r>
    </w:p>
    <w:p>
      <w:pPr>
        <w:pBdr>
          <w:bottom w:val="single" w:color="FFFFFF" w:sz="4" w:space="31"/>
        </w:pBdr>
        <w:tabs>
          <w:tab w:val="left" w:pos="1440"/>
        </w:tabs>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1.乡镇卫生院提质改造任务重。部分卫生院年久失修，基础设施老化，严重影响医院业务的开展，无法保障群众卫生健康需要。</w:t>
      </w:r>
    </w:p>
    <w:p>
      <w:pPr>
        <w:pBdr>
          <w:bottom w:val="single" w:color="FFFFFF" w:sz="4" w:space="31"/>
        </w:pBdr>
        <w:tabs>
          <w:tab w:val="left" w:pos="1440"/>
        </w:tabs>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2.社会抚养费征收的难度明显增加。</w:t>
      </w:r>
    </w:p>
    <w:p>
      <w:pPr>
        <w:pBdr>
          <w:bottom w:val="single" w:color="FFFFFF" w:sz="4" w:space="31"/>
        </w:pBdr>
        <w:tabs>
          <w:tab w:val="left" w:pos="1440"/>
        </w:tabs>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3.乡镇（街道）卫计办工作经费严重不足。</w:t>
      </w:r>
    </w:p>
    <w:p>
      <w:pPr>
        <w:pBdr>
          <w:bottom w:val="single" w:color="FFFFFF" w:sz="4" w:space="31"/>
        </w:pBdr>
        <w:tabs>
          <w:tab w:val="left" w:pos="1440"/>
        </w:tabs>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4.离任计生专干生活补助、现任计生专干养老待遇保障、退出乡村医生人员待遇保障等信访突出问题尚未得到有效解决，不稳定因素依然存在。</w:t>
      </w:r>
    </w:p>
    <w:p>
      <w:pPr>
        <w:jc w:val="center"/>
        <w:rPr>
          <w:rFonts w:hint="eastAsia" w:ascii="仿宋" w:hAnsi="仿宋" w:eastAsia="仿宋" w:cs="仿宋"/>
          <w:sz w:val="32"/>
          <w:szCs w:val="32"/>
        </w:rPr>
      </w:pPr>
      <w:r>
        <w:rPr>
          <w:rFonts w:hint="eastAsia" w:ascii="仿宋" w:hAnsi="仿宋" w:eastAsia="仿宋" w:cs="仿宋"/>
          <w:sz w:val="32"/>
          <w:szCs w:val="32"/>
        </w:rPr>
        <w:t>五、改进措施和有关建议</w:t>
      </w:r>
    </w:p>
    <w:p>
      <w:pPr>
        <w:ind w:right="280"/>
        <w:jc w:val="left"/>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 xml:space="preserve">     我局针对管理制度不健全的问题，采取建立健全的各项护理规章制度政策，且加以实行。管理工作者要完善卫生所的管理体系，对各个岗位及职责进行详细的划分，使各个岗位的工作内容得到精细化的管理与推动。确保卫生院的各个工作有条不紊的进行，确保护理人员满足患者的需求。结合国家对农村卫生院的建设，提升农村卫生院的基本设施，改进护理基础设备，提高护理质量。护理人员不单要精湛的掌握护理专业技术还要学习《医疗事故处理条例》、《护理管理办法》等与医疗有关的相关法律知识，掌握现代医疗领域对护理职责的新技术、新要求。 护理人员对患者进行人性护理服务，在管理过程中多展开有关医风医德、仪表、素质、医疗相关法律的修养培训。树立以患者为中心的护理理念，与患者及其家属建立良好的护患关系，提高服务的效率，做到优质护理。加强护理文书书写规范，作为护理人员必须真实、全面、客观、准确、及时的认真做好护理记录，尤其在护理人员交接班的时候，要确保护理文件记录都已记录完整，确保护理文件不缺失，漏记。客观、真实、充分的反映护理工作的质量，达到有法可查、有据可依的标准。</w:t>
      </w:r>
      <w:r>
        <w:rPr>
          <w:rFonts w:hint="eastAsia" w:ascii="仿宋" w:hAnsi="仿宋" w:eastAsia="仿宋" w:cs="仿宋"/>
          <w:sz w:val="32"/>
          <w:szCs w:val="32"/>
          <w:shd w:val="clear" w:color="auto" w:fill="FFFFFF"/>
        </w:rPr>
        <w:br w:type="textWrapping"/>
      </w:r>
      <w:r>
        <w:rPr>
          <w:rFonts w:hint="eastAsia" w:ascii="仿宋" w:hAnsi="仿宋" w:eastAsia="仿宋" w:cs="仿宋"/>
          <w:sz w:val="32"/>
          <w:szCs w:val="32"/>
          <w:shd w:val="clear" w:color="auto" w:fill="FFFFFF"/>
        </w:rPr>
        <w:t>     </w:t>
      </w:r>
    </w:p>
    <w:p>
      <w:pPr>
        <w:pStyle w:val="2"/>
        <w:rPr>
          <w:rFonts w:hint="eastAsia" w:ascii="仿宋" w:hAnsi="仿宋" w:eastAsia="仿宋" w:cs="仿宋"/>
          <w:sz w:val="32"/>
          <w:szCs w:val="32"/>
          <w:shd w:val="clear" w:color="auto" w:fill="FFFFFF"/>
        </w:rPr>
      </w:pPr>
    </w:p>
    <w:p>
      <w:pPr>
        <w:pStyle w:val="2"/>
        <w:rPr>
          <w:rFonts w:hint="eastAsia" w:ascii="仿宋" w:hAnsi="仿宋" w:eastAsia="仿宋" w:cs="仿宋"/>
          <w:sz w:val="32"/>
          <w:szCs w:val="32"/>
          <w:shd w:val="clear" w:color="auto" w:fill="FFFFFF"/>
        </w:rPr>
      </w:pPr>
    </w:p>
    <w:p>
      <w:pPr>
        <w:pStyle w:val="2"/>
        <w:rPr>
          <w:rFonts w:hint="eastAsia" w:ascii="仿宋" w:hAnsi="仿宋" w:eastAsia="仿宋" w:cs="仿宋"/>
          <w:sz w:val="32"/>
          <w:szCs w:val="32"/>
          <w:shd w:val="clear" w:color="auto" w:fill="FFFFFF"/>
        </w:rPr>
      </w:pPr>
    </w:p>
    <w:p>
      <w:pPr>
        <w:pStyle w:val="2"/>
        <w:rPr>
          <w:rFonts w:hint="eastAsia" w:ascii="仿宋" w:hAnsi="仿宋" w:eastAsia="仿宋" w:cs="仿宋"/>
          <w:sz w:val="32"/>
          <w:szCs w:val="32"/>
          <w:shd w:val="clear" w:color="auto" w:fill="FFFFFF"/>
        </w:rPr>
      </w:pPr>
    </w:p>
    <w:p>
      <w:pPr>
        <w:pStyle w:val="2"/>
        <w:rPr>
          <w:rFonts w:hint="eastAsia" w:ascii="仿宋" w:hAnsi="仿宋" w:eastAsia="仿宋" w:cs="仿宋"/>
          <w:sz w:val="32"/>
          <w:szCs w:val="32"/>
          <w:shd w:val="clear" w:color="auto" w:fill="FFFFFF"/>
        </w:rPr>
      </w:pPr>
    </w:p>
    <w:p>
      <w:pPr>
        <w:pStyle w:val="2"/>
        <w:rPr>
          <w:rFonts w:hint="eastAsia" w:ascii="仿宋" w:hAnsi="仿宋" w:eastAsia="仿宋" w:cs="仿宋"/>
          <w:sz w:val="32"/>
          <w:szCs w:val="32"/>
          <w:shd w:val="clear" w:color="auto" w:fill="FFFFFF"/>
        </w:rPr>
      </w:pPr>
    </w:p>
    <w:p>
      <w:pPr>
        <w:pStyle w:val="2"/>
        <w:rPr>
          <w:rFonts w:hint="eastAsia" w:ascii="仿宋" w:hAnsi="仿宋" w:eastAsia="仿宋" w:cs="仿宋"/>
          <w:sz w:val="32"/>
          <w:szCs w:val="32"/>
          <w:shd w:val="clear" w:color="auto" w:fill="FFFFFF"/>
        </w:rPr>
      </w:pPr>
    </w:p>
    <w:p>
      <w:pPr>
        <w:pStyle w:val="2"/>
        <w:rPr>
          <w:rFonts w:hint="eastAsia" w:ascii="仿宋" w:hAnsi="仿宋" w:eastAsia="仿宋" w:cs="仿宋"/>
          <w:sz w:val="32"/>
          <w:szCs w:val="32"/>
          <w:shd w:val="clear" w:color="auto" w:fill="FFFFFF"/>
        </w:rPr>
      </w:pPr>
    </w:p>
    <w:p>
      <w:pPr>
        <w:pStyle w:val="2"/>
        <w:rPr>
          <w:rFonts w:hint="eastAsia" w:ascii="仿宋" w:hAnsi="仿宋" w:eastAsia="仿宋" w:cs="仿宋"/>
          <w:sz w:val="32"/>
          <w:szCs w:val="32"/>
          <w:shd w:val="clear" w:color="auto" w:fill="FFFFFF"/>
        </w:rPr>
      </w:pPr>
    </w:p>
    <w:p>
      <w:pPr>
        <w:pStyle w:val="2"/>
        <w:rPr>
          <w:rFonts w:hint="eastAsia" w:ascii="仿宋" w:hAnsi="仿宋" w:eastAsia="仿宋" w:cs="仿宋"/>
          <w:sz w:val="32"/>
          <w:szCs w:val="32"/>
          <w:shd w:val="clear" w:color="auto" w:fill="FFFFFF"/>
        </w:rPr>
      </w:pPr>
    </w:p>
    <w:p>
      <w:pPr>
        <w:pStyle w:val="2"/>
        <w:rPr>
          <w:rFonts w:hint="eastAsia" w:ascii="仿宋" w:hAnsi="仿宋" w:eastAsia="仿宋" w:cs="仿宋"/>
          <w:sz w:val="32"/>
          <w:szCs w:val="32"/>
          <w:shd w:val="clear" w:color="auto" w:fill="FFFFFF"/>
        </w:rPr>
      </w:pPr>
    </w:p>
    <w:p>
      <w:pPr>
        <w:pStyle w:val="2"/>
        <w:rPr>
          <w:rFonts w:hint="eastAsia" w:ascii="仿宋" w:hAnsi="仿宋" w:eastAsia="仿宋" w:cs="仿宋"/>
          <w:sz w:val="32"/>
          <w:szCs w:val="32"/>
          <w:shd w:val="clear" w:color="auto" w:fill="FFFFFF"/>
        </w:rPr>
      </w:pPr>
    </w:p>
    <w:p>
      <w:pPr>
        <w:pStyle w:val="2"/>
        <w:rPr>
          <w:rFonts w:hint="eastAsia" w:ascii="仿宋" w:hAnsi="仿宋" w:eastAsia="仿宋" w:cs="仿宋"/>
          <w:sz w:val="32"/>
          <w:szCs w:val="32"/>
          <w:shd w:val="clear" w:color="auto" w:fill="FFFFFF"/>
        </w:rPr>
      </w:pPr>
    </w:p>
    <w:p>
      <w:pPr>
        <w:pStyle w:val="2"/>
        <w:rPr>
          <w:rFonts w:hint="eastAsia" w:ascii="仿宋" w:hAnsi="仿宋" w:eastAsia="仿宋" w:cs="仿宋"/>
          <w:sz w:val="32"/>
          <w:szCs w:val="32"/>
          <w:shd w:val="clear" w:color="auto" w:fill="FFFFFF"/>
        </w:rPr>
      </w:pPr>
    </w:p>
    <w:p>
      <w:pPr>
        <w:pStyle w:val="2"/>
        <w:rPr>
          <w:rFonts w:hint="eastAsia" w:ascii="仿宋" w:hAnsi="仿宋" w:eastAsia="仿宋" w:cs="仿宋"/>
          <w:sz w:val="32"/>
          <w:szCs w:val="32"/>
          <w:shd w:val="clear" w:color="auto" w:fill="FFFFFF"/>
        </w:rPr>
      </w:pPr>
    </w:p>
    <w:p>
      <w:pPr>
        <w:pStyle w:val="2"/>
        <w:rPr>
          <w:rFonts w:hint="eastAsia" w:ascii="仿宋" w:hAnsi="仿宋" w:eastAsia="仿宋" w:cs="仿宋"/>
          <w:sz w:val="32"/>
          <w:szCs w:val="32"/>
          <w:shd w:val="clear" w:color="auto" w:fill="FFFFFF"/>
        </w:rPr>
      </w:pPr>
    </w:p>
    <w:p>
      <w:pPr>
        <w:ind w:firstLine="640" w:firstLineChars="200"/>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67E551"/>
    <w:multiLevelType w:val="singleLevel"/>
    <w:tmpl w:val="A167E551"/>
    <w:lvl w:ilvl="0" w:tentative="0">
      <w:start w:val="3"/>
      <w:numFmt w:val="decimal"/>
      <w:suff w:val="nothing"/>
      <w:lvlText w:val="%1、"/>
      <w:lvlJc w:val="left"/>
    </w:lvl>
  </w:abstractNum>
  <w:abstractNum w:abstractNumId="1">
    <w:nsid w:val="ECCF2577"/>
    <w:multiLevelType w:val="singleLevel"/>
    <w:tmpl w:val="ECCF2577"/>
    <w:lvl w:ilvl="0" w:tentative="0">
      <w:start w:val="1"/>
      <w:numFmt w:val="decimal"/>
      <w:suff w:val="nothing"/>
      <w:lvlText w:val="%1、"/>
      <w:lvlJc w:val="left"/>
    </w:lvl>
  </w:abstractNum>
  <w:abstractNum w:abstractNumId="2">
    <w:nsid w:val="0B454817"/>
    <w:multiLevelType w:val="singleLevel"/>
    <w:tmpl w:val="0B454817"/>
    <w:lvl w:ilvl="0" w:tentative="0">
      <w:start w:val="1"/>
      <w:numFmt w:val="decimal"/>
      <w:suff w:val="nothing"/>
      <w:lvlText w:val="%1、"/>
      <w:lvlJc w:val="left"/>
      <w:pPr>
        <w:ind w:left="480" w:firstLine="0"/>
      </w:pPr>
    </w:lvl>
  </w:abstractNum>
  <w:abstractNum w:abstractNumId="3">
    <w:nsid w:val="1FF85C69"/>
    <w:multiLevelType w:val="singleLevel"/>
    <w:tmpl w:val="1FF85C69"/>
    <w:lvl w:ilvl="0" w:tentative="0">
      <w:start w:val="1"/>
      <w:numFmt w:val="chineseCounting"/>
      <w:suff w:val="nothing"/>
      <w:lvlText w:val="（%1）"/>
      <w:lvlJc w:val="left"/>
      <w:rPr>
        <w:rFonts w:hint="eastAsia"/>
      </w:rPr>
    </w:lvl>
  </w:abstractNum>
  <w:abstractNum w:abstractNumId="4">
    <w:nsid w:val="26DF9022"/>
    <w:multiLevelType w:val="singleLevel"/>
    <w:tmpl w:val="26DF9022"/>
    <w:lvl w:ilvl="0" w:tentative="0">
      <w:start w:val="3"/>
      <w:numFmt w:val="chineseCounting"/>
      <w:suff w:val="nothing"/>
      <w:lvlText w:val="%1、"/>
      <w:lvlJc w:val="left"/>
      <w:rPr>
        <w:rFonts w:hint="eastAsia"/>
      </w:rPr>
    </w:lvl>
  </w:abstractNum>
  <w:abstractNum w:abstractNumId="5">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578C8EB1"/>
    <w:multiLevelType w:val="singleLevel"/>
    <w:tmpl w:val="578C8EB1"/>
    <w:lvl w:ilvl="0" w:tentative="0">
      <w:start w:val="13"/>
      <w:numFmt w:val="chineseCounting"/>
      <w:suff w:val="nothing"/>
      <w:lvlText w:val="%1、"/>
      <w:lvlJc w:val="left"/>
      <w:rPr>
        <w:rFonts w:hint="eastAsia"/>
      </w:rPr>
    </w:lvl>
  </w:abstractNum>
  <w:abstractNum w:abstractNumId="7">
    <w:nsid w:val="5933B938"/>
    <w:multiLevelType w:val="singleLevel"/>
    <w:tmpl w:val="5933B938"/>
    <w:lvl w:ilvl="0" w:tentative="0">
      <w:start w:val="4"/>
      <w:numFmt w:val="chineseCounting"/>
      <w:suff w:val="nothing"/>
      <w:lvlText w:val="%1、"/>
      <w:lvlJc w:val="left"/>
    </w:lvl>
  </w:abstractNum>
  <w:abstractNum w:abstractNumId="8">
    <w:nsid w:val="59354BEF"/>
    <w:multiLevelType w:val="singleLevel"/>
    <w:tmpl w:val="59354BEF"/>
    <w:lvl w:ilvl="0" w:tentative="0">
      <w:start w:val="2"/>
      <w:numFmt w:val="decimal"/>
      <w:suff w:val="nothing"/>
      <w:lvlText w:val="%1、"/>
      <w:lvlJc w:val="left"/>
    </w:lvl>
  </w:abstractNum>
  <w:num w:numId="1">
    <w:abstractNumId w:val="5"/>
  </w:num>
  <w:num w:numId="2">
    <w:abstractNumId w:val="0"/>
  </w:num>
  <w:num w:numId="3">
    <w:abstractNumId w:val="6"/>
  </w:num>
  <w:num w:numId="4">
    <w:abstractNumId w:val="4"/>
  </w:num>
  <w:num w:numId="5">
    <w:abstractNumId w:val="1"/>
  </w:num>
  <w:num w:numId="6">
    <w:abstractNumId w:val="8"/>
  </w:num>
  <w:num w:numId="7">
    <w:abstractNumId w:val="3"/>
  </w:num>
  <w:num w:numId="8">
    <w:abstractNumId w:val="2"/>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MwNjE4YWRjYWY2MDYxNTNmOWNmMmIxMWI5MTcyZWUifQ=="/>
  </w:docVars>
  <w:rsids>
    <w:rsidRoot w:val="004506F9"/>
    <w:rsid w:val="0002229B"/>
    <w:rsid w:val="000273BD"/>
    <w:rsid w:val="000415B7"/>
    <w:rsid w:val="00041E3F"/>
    <w:rsid w:val="00055DAA"/>
    <w:rsid w:val="00061F7B"/>
    <w:rsid w:val="000658A3"/>
    <w:rsid w:val="00074155"/>
    <w:rsid w:val="000A3F69"/>
    <w:rsid w:val="00103957"/>
    <w:rsid w:val="00152C6D"/>
    <w:rsid w:val="00162D39"/>
    <w:rsid w:val="001678BD"/>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C47E6"/>
    <w:rsid w:val="003C4FC2"/>
    <w:rsid w:val="00416E61"/>
    <w:rsid w:val="0042790C"/>
    <w:rsid w:val="004506F9"/>
    <w:rsid w:val="004717A2"/>
    <w:rsid w:val="00473DF3"/>
    <w:rsid w:val="00487911"/>
    <w:rsid w:val="00491741"/>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91E8C"/>
    <w:rsid w:val="006A22C4"/>
    <w:rsid w:val="006A351B"/>
    <w:rsid w:val="006B0422"/>
    <w:rsid w:val="006C1B53"/>
    <w:rsid w:val="006D7730"/>
    <w:rsid w:val="006E5284"/>
    <w:rsid w:val="006F3EB5"/>
    <w:rsid w:val="00702E34"/>
    <w:rsid w:val="00704395"/>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33BEA"/>
    <w:rsid w:val="00B57C9F"/>
    <w:rsid w:val="00B63572"/>
    <w:rsid w:val="00B845B3"/>
    <w:rsid w:val="00B85D8B"/>
    <w:rsid w:val="00BB4A40"/>
    <w:rsid w:val="00BD6C3E"/>
    <w:rsid w:val="00BE3674"/>
    <w:rsid w:val="00C10681"/>
    <w:rsid w:val="00C3049A"/>
    <w:rsid w:val="00C31B1E"/>
    <w:rsid w:val="00C50B26"/>
    <w:rsid w:val="00C77645"/>
    <w:rsid w:val="00CE04C3"/>
    <w:rsid w:val="00CE76A0"/>
    <w:rsid w:val="00D148C6"/>
    <w:rsid w:val="00D17A8A"/>
    <w:rsid w:val="00D415BA"/>
    <w:rsid w:val="00D644EE"/>
    <w:rsid w:val="00DD06FF"/>
    <w:rsid w:val="00DD5FE9"/>
    <w:rsid w:val="00E00C7A"/>
    <w:rsid w:val="00E37D6C"/>
    <w:rsid w:val="00E55B68"/>
    <w:rsid w:val="00E67BE6"/>
    <w:rsid w:val="00E8683C"/>
    <w:rsid w:val="00EA2B72"/>
    <w:rsid w:val="00F74360"/>
    <w:rsid w:val="00FB462F"/>
    <w:rsid w:val="00FE16FA"/>
    <w:rsid w:val="00FE328A"/>
    <w:rsid w:val="00FE3878"/>
    <w:rsid w:val="00FE6269"/>
    <w:rsid w:val="02A8406D"/>
    <w:rsid w:val="04926644"/>
    <w:rsid w:val="04C02D47"/>
    <w:rsid w:val="0682675B"/>
    <w:rsid w:val="06877B2F"/>
    <w:rsid w:val="06D65EE7"/>
    <w:rsid w:val="075328A9"/>
    <w:rsid w:val="076A1F94"/>
    <w:rsid w:val="07936525"/>
    <w:rsid w:val="084E7652"/>
    <w:rsid w:val="08952288"/>
    <w:rsid w:val="09EC3440"/>
    <w:rsid w:val="0B206914"/>
    <w:rsid w:val="0BCB12B5"/>
    <w:rsid w:val="0BE7551E"/>
    <w:rsid w:val="0D2A711F"/>
    <w:rsid w:val="0D8B49E9"/>
    <w:rsid w:val="0DA71D8F"/>
    <w:rsid w:val="0DCF259B"/>
    <w:rsid w:val="0E721BC1"/>
    <w:rsid w:val="0E9F5494"/>
    <w:rsid w:val="0F345412"/>
    <w:rsid w:val="0FB22D09"/>
    <w:rsid w:val="0FEB5787"/>
    <w:rsid w:val="10A90C0A"/>
    <w:rsid w:val="10B64E7B"/>
    <w:rsid w:val="10DF42E9"/>
    <w:rsid w:val="118962EE"/>
    <w:rsid w:val="126B6974"/>
    <w:rsid w:val="128826C1"/>
    <w:rsid w:val="129619B7"/>
    <w:rsid w:val="13422BEB"/>
    <w:rsid w:val="13630460"/>
    <w:rsid w:val="13C4658D"/>
    <w:rsid w:val="13C9175B"/>
    <w:rsid w:val="14063396"/>
    <w:rsid w:val="14515375"/>
    <w:rsid w:val="14834004"/>
    <w:rsid w:val="14B86F0B"/>
    <w:rsid w:val="15393438"/>
    <w:rsid w:val="155B33AF"/>
    <w:rsid w:val="15CD6A5D"/>
    <w:rsid w:val="16930926"/>
    <w:rsid w:val="17C14393"/>
    <w:rsid w:val="17C713A7"/>
    <w:rsid w:val="18A36E6C"/>
    <w:rsid w:val="19302639"/>
    <w:rsid w:val="19D645D4"/>
    <w:rsid w:val="19FA0A31"/>
    <w:rsid w:val="1A03115E"/>
    <w:rsid w:val="1AE45BF4"/>
    <w:rsid w:val="1B09750A"/>
    <w:rsid w:val="1BB96967"/>
    <w:rsid w:val="1D854BBF"/>
    <w:rsid w:val="1E34113B"/>
    <w:rsid w:val="1E950076"/>
    <w:rsid w:val="1F495AC0"/>
    <w:rsid w:val="1FB41465"/>
    <w:rsid w:val="1FCF6E73"/>
    <w:rsid w:val="211131C2"/>
    <w:rsid w:val="22043FB8"/>
    <w:rsid w:val="22486F90"/>
    <w:rsid w:val="228659F8"/>
    <w:rsid w:val="229B21A9"/>
    <w:rsid w:val="230C30FA"/>
    <w:rsid w:val="23587A01"/>
    <w:rsid w:val="258777B6"/>
    <w:rsid w:val="26EC4B29"/>
    <w:rsid w:val="26FE2DD4"/>
    <w:rsid w:val="270D56F0"/>
    <w:rsid w:val="27E0377E"/>
    <w:rsid w:val="286E14A1"/>
    <w:rsid w:val="28B15A89"/>
    <w:rsid w:val="292678CF"/>
    <w:rsid w:val="29561E85"/>
    <w:rsid w:val="29636F3F"/>
    <w:rsid w:val="29AD2634"/>
    <w:rsid w:val="29E17ECF"/>
    <w:rsid w:val="2A013AE7"/>
    <w:rsid w:val="2A383945"/>
    <w:rsid w:val="2A3F3EDA"/>
    <w:rsid w:val="2C162636"/>
    <w:rsid w:val="2C3B477C"/>
    <w:rsid w:val="2C611150"/>
    <w:rsid w:val="2CEE645F"/>
    <w:rsid w:val="2D312C13"/>
    <w:rsid w:val="2DA819A6"/>
    <w:rsid w:val="2E772BB0"/>
    <w:rsid w:val="303C0FD8"/>
    <w:rsid w:val="309A6324"/>
    <w:rsid w:val="309B2FAC"/>
    <w:rsid w:val="30B31E99"/>
    <w:rsid w:val="30CA6EFA"/>
    <w:rsid w:val="30DF7CC5"/>
    <w:rsid w:val="30F9312F"/>
    <w:rsid w:val="3248294D"/>
    <w:rsid w:val="328C77B8"/>
    <w:rsid w:val="329D3040"/>
    <w:rsid w:val="329D3E2E"/>
    <w:rsid w:val="32CE579C"/>
    <w:rsid w:val="3376611B"/>
    <w:rsid w:val="34641A9B"/>
    <w:rsid w:val="35773495"/>
    <w:rsid w:val="360A10D1"/>
    <w:rsid w:val="36170347"/>
    <w:rsid w:val="36706E77"/>
    <w:rsid w:val="372F3963"/>
    <w:rsid w:val="373F51A0"/>
    <w:rsid w:val="3850773E"/>
    <w:rsid w:val="391B6AB9"/>
    <w:rsid w:val="39FD0907"/>
    <w:rsid w:val="3A36237C"/>
    <w:rsid w:val="3A707DB1"/>
    <w:rsid w:val="3A7730AD"/>
    <w:rsid w:val="3AB63699"/>
    <w:rsid w:val="3B823789"/>
    <w:rsid w:val="3B9E1D36"/>
    <w:rsid w:val="3D04242B"/>
    <w:rsid w:val="3DAB25F3"/>
    <w:rsid w:val="3DC15BF5"/>
    <w:rsid w:val="3E060B07"/>
    <w:rsid w:val="3E4500A4"/>
    <w:rsid w:val="3EF076E2"/>
    <w:rsid w:val="3F1D0897"/>
    <w:rsid w:val="3F5B7749"/>
    <w:rsid w:val="3F7722E4"/>
    <w:rsid w:val="3FE93DFA"/>
    <w:rsid w:val="3FF57DD8"/>
    <w:rsid w:val="40636941"/>
    <w:rsid w:val="40B2720B"/>
    <w:rsid w:val="410D73A4"/>
    <w:rsid w:val="41972093"/>
    <w:rsid w:val="41AA32C3"/>
    <w:rsid w:val="41DD453F"/>
    <w:rsid w:val="42712671"/>
    <w:rsid w:val="42CE28B4"/>
    <w:rsid w:val="431B3E9B"/>
    <w:rsid w:val="43C336B9"/>
    <w:rsid w:val="466851A5"/>
    <w:rsid w:val="485862FE"/>
    <w:rsid w:val="489F23B0"/>
    <w:rsid w:val="48D12ADA"/>
    <w:rsid w:val="48D3636F"/>
    <w:rsid w:val="497C0E37"/>
    <w:rsid w:val="49AF4139"/>
    <w:rsid w:val="4A041ED7"/>
    <w:rsid w:val="4A9B3A81"/>
    <w:rsid w:val="4ADB406F"/>
    <w:rsid w:val="4AF73E10"/>
    <w:rsid w:val="4B54294A"/>
    <w:rsid w:val="4B6978CC"/>
    <w:rsid w:val="4C2832E3"/>
    <w:rsid w:val="4C291165"/>
    <w:rsid w:val="4CA46E0E"/>
    <w:rsid w:val="4D662315"/>
    <w:rsid w:val="4D6A420F"/>
    <w:rsid w:val="4D886195"/>
    <w:rsid w:val="4DB974BC"/>
    <w:rsid w:val="4E9244C5"/>
    <w:rsid w:val="4EB00E20"/>
    <w:rsid w:val="4EB62055"/>
    <w:rsid w:val="4ED3544A"/>
    <w:rsid w:val="4F087921"/>
    <w:rsid w:val="4F126B8A"/>
    <w:rsid w:val="4FA85DF1"/>
    <w:rsid w:val="50004B37"/>
    <w:rsid w:val="5005462D"/>
    <w:rsid w:val="50A04984"/>
    <w:rsid w:val="516C3C72"/>
    <w:rsid w:val="518C60C3"/>
    <w:rsid w:val="51E62F4B"/>
    <w:rsid w:val="51F253B0"/>
    <w:rsid w:val="52016D71"/>
    <w:rsid w:val="525210BA"/>
    <w:rsid w:val="52CB7A13"/>
    <w:rsid w:val="53041029"/>
    <w:rsid w:val="5323708E"/>
    <w:rsid w:val="53272389"/>
    <w:rsid w:val="53950BC7"/>
    <w:rsid w:val="551346CB"/>
    <w:rsid w:val="55A01CB4"/>
    <w:rsid w:val="55D8027E"/>
    <w:rsid w:val="55F75663"/>
    <w:rsid w:val="575425E1"/>
    <w:rsid w:val="58113605"/>
    <w:rsid w:val="5975402D"/>
    <w:rsid w:val="59B76786"/>
    <w:rsid w:val="5A7E6665"/>
    <w:rsid w:val="5ADD0E59"/>
    <w:rsid w:val="5AF64742"/>
    <w:rsid w:val="5B29455D"/>
    <w:rsid w:val="5C6351A3"/>
    <w:rsid w:val="5CC82719"/>
    <w:rsid w:val="5DE80B25"/>
    <w:rsid w:val="5E6104F8"/>
    <w:rsid w:val="5EB86749"/>
    <w:rsid w:val="5ECD3157"/>
    <w:rsid w:val="5F461D73"/>
    <w:rsid w:val="605746DC"/>
    <w:rsid w:val="605D023A"/>
    <w:rsid w:val="61135EB8"/>
    <w:rsid w:val="611C2FBF"/>
    <w:rsid w:val="620B7100"/>
    <w:rsid w:val="622A5540"/>
    <w:rsid w:val="623B24BE"/>
    <w:rsid w:val="624C78D4"/>
    <w:rsid w:val="62BD207D"/>
    <w:rsid w:val="62C52D7B"/>
    <w:rsid w:val="62FE266B"/>
    <w:rsid w:val="634124FD"/>
    <w:rsid w:val="63903F9C"/>
    <w:rsid w:val="64603EE0"/>
    <w:rsid w:val="64B35FCC"/>
    <w:rsid w:val="64D3299A"/>
    <w:rsid w:val="65DA6FA5"/>
    <w:rsid w:val="660E5584"/>
    <w:rsid w:val="66167F91"/>
    <w:rsid w:val="661A56B6"/>
    <w:rsid w:val="676B1498"/>
    <w:rsid w:val="695A6B46"/>
    <w:rsid w:val="695D1A7B"/>
    <w:rsid w:val="69646FD2"/>
    <w:rsid w:val="699C3C3E"/>
    <w:rsid w:val="6A09032C"/>
    <w:rsid w:val="6A0E546F"/>
    <w:rsid w:val="6A274258"/>
    <w:rsid w:val="6A955B90"/>
    <w:rsid w:val="6AA1040A"/>
    <w:rsid w:val="6AFE4442"/>
    <w:rsid w:val="6B131761"/>
    <w:rsid w:val="6B535947"/>
    <w:rsid w:val="6B881251"/>
    <w:rsid w:val="6BB02E10"/>
    <w:rsid w:val="6BDC2477"/>
    <w:rsid w:val="6CB2711A"/>
    <w:rsid w:val="6D5C4743"/>
    <w:rsid w:val="6D7B706C"/>
    <w:rsid w:val="6DAF58A8"/>
    <w:rsid w:val="6DEF55B7"/>
    <w:rsid w:val="6E294762"/>
    <w:rsid w:val="6E576928"/>
    <w:rsid w:val="6EB15215"/>
    <w:rsid w:val="6EC7705F"/>
    <w:rsid w:val="6F2807AB"/>
    <w:rsid w:val="7073427E"/>
    <w:rsid w:val="70A24537"/>
    <w:rsid w:val="7122796E"/>
    <w:rsid w:val="717604C9"/>
    <w:rsid w:val="723839D1"/>
    <w:rsid w:val="728F6219"/>
    <w:rsid w:val="72956C62"/>
    <w:rsid w:val="72F17538"/>
    <w:rsid w:val="72F4589E"/>
    <w:rsid w:val="7337310F"/>
    <w:rsid w:val="733A72D5"/>
    <w:rsid w:val="73841DAF"/>
    <w:rsid w:val="74542618"/>
    <w:rsid w:val="764B2615"/>
    <w:rsid w:val="769129DD"/>
    <w:rsid w:val="771B32CB"/>
    <w:rsid w:val="78E85322"/>
    <w:rsid w:val="79164340"/>
    <w:rsid w:val="79F0775A"/>
    <w:rsid w:val="7A1763CD"/>
    <w:rsid w:val="7B5970F8"/>
    <w:rsid w:val="7BFD1C17"/>
    <w:rsid w:val="7C4A5E91"/>
    <w:rsid w:val="7CD21E2E"/>
    <w:rsid w:val="7CE87F50"/>
    <w:rsid w:val="7D9A17CA"/>
    <w:rsid w:val="7D9C530D"/>
    <w:rsid w:val="7DB81B04"/>
    <w:rsid w:val="7EA22A79"/>
    <w:rsid w:val="7EB977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qFormat="1" w:unhideWhenUsed="0" w:uiPriority="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4"/>
    <w:basedOn w:val="1"/>
    <w:next w:val="1"/>
    <w:link w:val="18"/>
    <w:semiHidden/>
    <w:unhideWhenUsed/>
    <w:qFormat/>
    <w:uiPriority w:val="9"/>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endnote text"/>
    <w:basedOn w:val="1"/>
    <w:semiHidden/>
    <w:qFormat/>
    <w:uiPriority w:val="0"/>
    <w:pPr>
      <w:snapToGrid w:val="0"/>
      <w:jc w:val="left"/>
    </w:pPr>
  </w:style>
  <w:style w:type="paragraph" w:styleId="4">
    <w:name w:val="Body Text"/>
    <w:basedOn w:val="1"/>
    <w:qFormat/>
    <w:uiPriority w:val="1"/>
    <w:rPr>
      <w:rFonts w:ascii="仿宋" w:hAnsi="仿宋" w:eastAsia="仿宋" w:cs="仿宋"/>
      <w:sz w:val="32"/>
      <w:szCs w:val="32"/>
      <w:lang w:val="zh-CN" w:eastAsia="zh-CN" w:bidi="zh-CN"/>
    </w:rPr>
  </w:style>
  <w:style w:type="paragraph" w:styleId="5">
    <w:name w:val="Balloon Text"/>
    <w:basedOn w:val="1"/>
    <w:link w:val="17"/>
    <w:semiHidden/>
    <w:unhideWhenUsed/>
    <w:qFormat/>
    <w:uiPriority w:val="99"/>
    <w:rPr>
      <w:sz w:val="18"/>
      <w:szCs w:val="18"/>
    </w:rPr>
  </w:style>
  <w:style w:type="paragraph" w:styleId="6">
    <w:name w:val="footer"/>
    <w:basedOn w:val="1"/>
    <w:link w:val="14"/>
    <w:unhideWhenUsed/>
    <w:qFormat/>
    <w:uiPriority w:val="99"/>
    <w:pPr>
      <w:tabs>
        <w:tab w:val="center" w:pos="4153"/>
        <w:tab w:val="right" w:pos="8306"/>
      </w:tabs>
      <w:snapToGrid w:val="0"/>
      <w:jc w:val="left"/>
    </w:pPr>
    <w:rPr>
      <w:sz w:val="18"/>
      <w:szCs w:val="18"/>
    </w:rPr>
  </w:style>
  <w:style w:type="paragraph" w:styleId="7">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default" w:ascii="Arial" w:hAnsi="Arial" w:cs="Arial"/>
      <w:color w:val="333333"/>
      <w:kern w:val="0"/>
      <w:sz w:val="18"/>
      <w:szCs w:val="18"/>
      <w:lang w:val="en-US" w:eastAsia="zh-CN" w:bidi="ar"/>
    </w:rPr>
  </w:style>
  <w:style w:type="paragraph" w:customStyle="1" w:styleId="11">
    <w:name w:val="决算1"/>
    <w:basedOn w:val="1"/>
    <w:link w:val="19"/>
    <w:qFormat/>
    <w:uiPriority w:val="0"/>
    <w:pPr>
      <w:spacing w:before="50" w:beforeLines="50" w:after="50" w:afterLines="50" w:line="360" w:lineRule="auto"/>
      <w:ind w:firstLine="1120" w:firstLineChars="200"/>
    </w:pPr>
    <w:rPr>
      <w:rFonts w:ascii="仿宋" w:hAnsi="仿宋" w:eastAsia="仿宋" w:cs="黑体"/>
      <w:color w:val="000000"/>
      <w:kern w:val="0"/>
      <w:sz w:val="32"/>
    </w:rPr>
  </w:style>
  <w:style w:type="paragraph" w:customStyle="1" w:styleId="12">
    <w:name w:val="决算标题1"/>
    <w:basedOn w:val="1"/>
    <w:qFormat/>
    <w:uiPriority w:val="0"/>
    <w:pPr>
      <w:spacing w:before="50" w:beforeLines="50" w:line="240" w:lineRule="auto"/>
    </w:pPr>
    <w:rPr>
      <w:rFonts w:ascii="黑体" w:hAnsi="黑体" w:eastAsia="仿宋" w:cs="黑体"/>
      <w:b/>
      <w:color w:val="000000"/>
      <w:kern w:val="0"/>
      <w:sz w:val="32"/>
    </w:rPr>
  </w:style>
  <w:style w:type="character" w:customStyle="1" w:styleId="13">
    <w:name w:val="页眉 Char"/>
    <w:basedOn w:val="10"/>
    <w:link w:val="7"/>
    <w:qFormat/>
    <w:uiPriority w:val="99"/>
    <w:rPr>
      <w:sz w:val="18"/>
      <w:szCs w:val="18"/>
    </w:rPr>
  </w:style>
  <w:style w:type="character" w:customStyle="1" w:styleId="14">
    <w:name w:val="页脚 Char"/>
    <w:basedOn w:val="10"/>
    <w:link w:val="6"/>
    <w:qFormat/>
    <w:uiPriority w:val="99"/>
    <w:rPr>
      <w:sz w:val="18"/>
      <w:szCs w:val="18"/>
    </w:rPr>
  </w:style>
  <w:style w:type="paragraph" w:customStyle="1" w:styleId="15">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6">
    <w:name w:val="List Paragraph"/>
    <w:basedOn w:val="1"/>
    <w:qFormat/>
    <w:uiPriority w:val="34"/>
    <w:pPr>
      <w:ind w:firstLine="420" w:firstLineChars="200"/>
    </w:pPr>
  </w:style>
  <w:style w:type="character" w:customStyle="1" w:styleId="17">
    <w:name w:val="批注框文本 Char"/>
    <w:basedOn w:val="10"/>
    <w:link w:val="5"/>
    <w:semiHidden/>
    <w:qFormat/>
    <w:uiPriority w:val="99"/>
    <w:rPr>
      <w:sz w:val="18"/>
      <w:szCs w:val="18"/>
    </w:rPr>
  </w:style>
  <w:style w:type="character" w:customStyle="1" w:styleId="18">
    <w:name w:val="标题 4 Char"/>
    <w:link w:val="3"/>
    <w:qFormat/>
    <w:uiPriority w:val="0"/>
    <w:rPr>
      <w:rFonts w:ascii="Arial" w:hAnsi="Arial" w:eastAsia="黑体"/>
      <w:b/>
      <w:sz w:val="28"/>
    </w:rPr>
  </w:style>
  <w:style w:type="character" w:customStyle="1" w:styleId="19">
    <w:name w:val="决算1 Char"/>
    <w:link w:val="11"/>
    <w:qFormat/>
    <w:uiPriority w:val="0"/>
    <w:rPr>
      <w:rFonts w:ascii="仿宋" w:hAnsi="仿宋" w:eastAsia="仿宋" w:cs="黑体"/>
      <w:color w:val="000000"/>
      <w:kern w:val="0"/>
      <w:sz w:val="32"/>
    </w:rPr>
  </w:style>
  <w:style w:type="character" w:customStyle="1" w:styleId="20">
    <w:name w:val="NormalCharacter"/>
    <w:semiHidden/>
    <w:qFormat/>
    <w:uiPriority w:val="0"/>
    <w:rPr>
      <w:rFonts w:ascii="Calibri" w:hAnsi="Calibri" w:eastAsia="宋体" w:cs="Times New Roman"/>
      <w:kern w:val="2"/>
      <w:sz w:val="21"/>
      <w:szCs w:val="24"/>
      <w:lang w:val="en-US" w:eastAsia="zh-CN" w:bidi="ar-SA"/>
    </w:rPr>
  </w:style>
  <w:style w:type="character" w:customStyle="1" w:styleId="21">
    <w:name w:val="font131"/>
    <w:basedOn w:val="10"/>
    <w:qFormat/>
    <w:uiPriority w:val="0"/>
    <w:rPr>
      <w:rFonts w:hint="eastAsia" w:ascii="仿宋" w:hAnsi="仿宋" w:eastAsia="仿宋" w:cs="仿宋"/>
      <w:b/>
      <w:bCs/>
      <w:color w:val="000000"/>
      <w:sz w:val="36"/>
      <w:szCs w:val="36"/>
      <w:u w:val="none"/>
    </w:rPr>
  </w:style>
  <w:style w:type="character" w:customStyle="1" w:styleId="22">
    <w:name w:val="font41"/>
    <w:basedOn w:val="10"/>
    <w:qFormat/>
    <w:uiPriority w:val="0"/>
    <w:rPr>
      <w:rFonts w:hint="eastAsia" w:ascii="宋体" w:hAnsi="宋体" w:eastAsia="宋体" w:cs="宋体"/>
      <w:b/>
      <w:bCs/>
      <w:color w:val="000000"/>
      <w:sz w:val="44"/>
      <w:szCs w:val="4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8E8E99-0876-4457-84BE-74A901AF77D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49</Pages>
  <Words>18978</Words>
  <Characters>22576</Characters>
  <Lines>62</Lines>
  <Paragraphs>17</Paragraphs>
  <TotalTime>5</TotalTime>
  <ScaleCrop>false</ScaleCrop>
  <LinksUpToDate>false</LinksUpToDate>
  <CharactersWithSpaces>23803</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Administrator</cp:lastModifiedBy>
  <cp:lastPrinted>2022-09-02T01:10:00Z</cp:lastPrinted>
  <dcterms:modified xsi:type="dcterms:W3CDTF">2022-09-02T08:10:32Z</dcterms:modified>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1DBB387F001B4DE980F22FC009B123C2</vt:lpwstr>
  </property>
</Properties>
</file>