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黑体" w:hAnsi="黑体" w:eastAsia="黑体" w:cs="黑体"/>
          <w:kern w:val="0"/>
          <w:sz w:val="44"/>
          <w:szCs w:val="44"/>
          <w:lang w:eastAsia="zh-CN"/>
        </w:rPr>
      </w:pPr>
      <w:r>
        <w:rPr>
          <w:rFonts w:hint="eastAsia" w:ascii="Arial" w:hAnsi="Arial" w:eastAsia="黑体" w:cs="Arial"/>
          <w:b w:val="0"/>
          <w:bCs w:val="0"/>
          <w:kern w:val="0"/>
          <w:sz w:val="44"/>
          <w:szCs w:val="44"/>
          <w:lang w:val="en-US" w:eastAsia="zh-CN"/>
        </w:rPr>
        <w:t>2022</w:t>
      </w:r>
      <w:r>
        <w:rPr>
          <w:rFonts w:hint="eastAsia" w:ascii="黑体" w:hAnsi="黑体" w:eastAsia="黑体" w:cs="黑体"/>
          <w:kern w:val="0"/>
          <w:sz w:val="44"/>
          <w:szCs w:val="44"/>
        </w:rPr>
        <w:t>年</w:t>
      </w:r>
      <w:r>
        <w:rPr>
          <w:rFonts w:hint="eastAsia" w:ascii="Arial" w:hAnsi="Arial" w:eastAsia="黑体" w:cs="Arial"/>
          <w:b w:val="0"/>
          <w:bCs w:val="0"/>
          <w:kern w:val="0"/>
          <w:sz w:val="44"/>
          <w:szCs w:val="44"/>
          <w:lang w:val="en-US" w:eastAsia="zh-CN"/>
        </w:rPr>
        <w:t>湘乡市墙体材料改革办公室</w:t>
      </w:r>
      <w:r>
        <w:rPr>
          <w:rFonts w:hint="eastAsia" w:ascii="黑体" w:hAnsi="黑体" w:eastAsia="黑体" w:cs="黑体"/>
          <w:kern w:val="0"/>
          <w:sz w:val="44"/>
          <w:szCs w:val="44"/>
        </w:rPr>
        <w:t>部门预算公开</w:t>
      </w:r>
      <w:r>
        <w:rPr>
          <w:rFonts w:hint="eastAsia" w:ascii="黑体" w:hAnsi="黑体" w:eastAsia="黑体" w:cs="黑体"/>
          <w:kern w:val="0"/>
          <w:sz w:val="44"/>
          <w:szCs w:val="44"/>
          <w:lang w:eastAsia="zh-CN"/>
        </w:rPr>
        <w:t>说明</w:t>
      </w:r>
    </w:p>
    <w:p>
      <w:pPr>
        <w:jc w:val="both"/>
        <w:rPr>
          <w:rFonts w:ascii="宋体" w:hAnsi="宋体" w:eastAsia="宋体" w:cs="宋体"/>
          <w:b/>
          <w:bCs/>
          <w:sz w:val="44"/>
          <w:szCs w:val="44"/>
        </w:rPr>
      </w:pPr>
    </w:p>
    <w:p>
      <w:pPr>
        <w:jc w:val="center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z w:val="44"/>
          <w:szCs w:val="44"/>
        </w:rPr>
        <w:t>目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44"/>
          <w:szCs w:val="44"/>
        </w:rPr>
        <w:t>录</w:t>
      </w:r>
      <w:r>
        <w:rPr>
          <w:rFonts w:ascii="宋体" w:hAnsi="宋体" w:eastAsia="宋体" w:cs="宋体"/>
          <w:b/>
          <w:bCs/>
          <w:sz w:val="44"/>
          <w:szCs w:val="44"/>
        </w:rPr>
        <w:br w:type="textWrapping"/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部门预算单位构成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部门收支总体情况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一般公共预算拨款支出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政府性基金预算支出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其他重要事项的情况说明</w:t>
      </w:r>
    </w:p>
    <w:p>
      <w:pPr>
        <w:widowControl/>
        <w:numPr>
          <w:ilvl w:val="0"/>
          <w:numId w:val="2"/>
        </w:numPr>
        <w:spacing w:line="600" w:lineRule="exact"/>
        <w:jc w:val="left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32"/>
          <w:szCs w:val="32"/>
        </w:rPr>
        <w:t>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 xml:space="preserve">第二部分 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 xml:space="preserve">  2022</w:t>
      </w:r>
      <w:r>
        <w:rPr>
          <w:rFonts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度</w:t>
      </w:r>
      <w:r>
        <w:rPr>
          <w:rFonts w:ascii="宋体" w:hAnsi="宋体" w:eastAsia="宋体" w:cs="宋体"/>
          <w:b/>
          <w:bCs/>
          <w:sz w:val="32"/>
          <w:szCs w:val="32"/>
        </w:rPr>
        <w:t>部门预算表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7、一般公共预算支出表（功能分类）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17、部门整体支出绩效目标申报表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18、项目支出绩效目标申报表</w:t>
      </w:r>
    </w:p>
    <w:p>
      <w:pPr>
        <w:widowControl/>
        <w:spacing w:line="600" w:lineRule="exact"/>
        <w:rPr>
          <w:rFonts w:eastAsia="仿宋_GB2312"/>
          <w:b/>
          <w:bCs w:val="0"/>
          <w:kern w:val="0"/>
          <w:sz w:val="32"/>
          <w:szCs w:val="32"/>
        </w:rPr>
      </w:pPr>
      <w:r>
        <w:rPr>
          <w:rFonts w:eastAsia="仿宋_GB2312"/>
          <w:b/>
          <w:bCs w:val="0"/>
          <w:kern w:val="0"/>
          <w:sz w:val="32"/>
          <w:szCs w:val="32"/>
        </w:rPr>
        <w:t>注：以上部门预算报表中，空表表示本部门无相关收支情况。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一、</w:t>
      </w:r>
      <w:r>
        <w:rPr>
          <w:rFonts w:eastAsia="黑体"/>
          <w:bCs/>
          <w:kern w:val="0"/>
          <w:sz w:val="32"/>
          <w:szCs w:val="32"/>
        </w:rPr>
        <w:t>部门基本概况</w:t>
      </w:r>
    </w:p>
    <w:p>
      <w:pPr>
        <w:widowControl/>
        <w:numPr>
          <w:ilvl w:val="0"/>
          <w:numId w:val="0"/>
        </w:numPr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（一）职能职责。</w:t>
      </w:r>
    </w:p>
    <w:p>
      <w:pPr>
        <w:widowControl/>
        <w:numPr>
          <w:ilvl w:val="0"/>
          <w:numId w:val="0"/>
        </w:numPr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贯彻执行墙体改革、散装水泥推广应用方面的法律法规政策，并对违法行为进行处罚；负责对全市新墙材、散装水泥的推广应用实施监督管理，编制并组织实施我市推广应用新墙材、散装水泥的中长期规划和年度计划；按规定管理和使用新型墙体材料专项基金、散装水泥专项资金；负责墙改和散装水泥推广应用方面的信息交流、职工培训、宣传教育和统计工作。</w:t>
      </w:r>
    </w:p>
    <w:p>
      <w:pPr>
        <w:widowControl/>
        <w:spacing w:line="600" w:lineRule="exact"/>
        <w:ind w:firstLine="320" w:firstLineChars="1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（二）机构设置。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本单位在职人员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人，离退休人员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人。本单位无公车。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本单位拥有国有资产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32.09万，其中通用设备15.64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万元、家具用具1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6.45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0"/>
          <w:szCs w:val="30"/>
          <w:shd w:val="clear" w:fill="FFFFFF"/>
        </w:rPr>
        <w:t>万元。</w:t>
      </w:r>
    </w:p>
    <w:p>
      <w:pPr>
        <w:widowControl/>
        <w:spacing w:line="600" w:lineRule="exact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eastAsia="黑体"/>
          <w:bCs/>
          <w:kern w:val="0"/>
          <w:sz w:val="32"/>
          <w:szCs w:val="32"/>
          <w:lang w:eastAsia="zh-CN"/>
        </w:rPr>
        <w:t>二、</w:t>
      </w:r>
      <w:r>
        <w:rPr>
          <w:rFonts w:eastAsia="黑体"/>
          <w:kern w:val="0"/>
          <w:sz w:val="32"/>
          <w:szCs w:val="32"/>
        </w:rPr>
        <w:t>部门预算单位构成</w:t>
      </w:r>
    </w:p>
    <w:p>
      <w:pPr>
        <w:widowControl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湘乡市墙体材料改革办公室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部门只有本级，没有其他预算单位，因此本部门预算仅含本级预算。</w:t>
      </w:r>
    </w:p>
    <w:p>
      <w:pPr>
        <w:widowControl/>
        <w:numPr>
          <w:ilvl w:val="0"/>
          <w:numId w:val="3"/>
        </w:numPr>
        <w:spacing w:line="600" w:lineRule="exact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  <w:r>
        <w:rPr>
          <w:rFonts w:eastAsia="黑体"/>
          <w:bCs/>
          <w:kern w:val="0"/>
          <w:sz w:val="32"/>
          <w:szCs w:val="32"/>
        </w:rPr>
        <w:t>部门收支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预算</w:t>
      </w:r>
      <w:r>
        <w:rPr>
          <w:rFonts w:eastAsia="黑体"/>
          <w:bCs/>
          <w:kern w:val="0"/>
          <w:sz w:val="32"/>
          <w:szCs w:val="32"/>
        </w:rPr>
        <w:t>总体情况</w:t>
      </w:r>
      <w:r>
        <w:rPr>
          <w:rFonts w:hint="eastAsia" w:eastAsia="黑体"/>
          <w:bCs/>
          <w:kern w:val="0"/>
          <w:sz w:val="32"/>
          <w:szCs w:val="32"/>
          <w:lang w:eastAsia="zh-CN"/>
        </w:rPr>
        <w:t>说明</w:t>
      </w:r>
    </w:p>
    <w:p>
      <w:pPr>
        <w:widowControl/>
        <w:spacing w:line="600" w:lineRule="exact"/>
        <w:ind w:firstLine="643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（一）收入预算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：包括一般公共预算、政府性基金、国有资本经营预算等财政拨款收入，以及经营收入、事业收入等单位资金。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年本部门收入预算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万元，政府性基金预算拨款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万元，国有资本经营预算拨款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万元，纳入专户管理的非税收入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万元。收入较去年增加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基本支出增加1.7万元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spacing w:line="600" w:lineRule="exact"/>
        <w:ind w:firstLine="630" w:firstLineChars="196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（二）支出预算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172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万元，其中，一般公共服务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万元，公共安全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万元，教育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万元，科学技术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万元。支出较去年增加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社会成本增加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年本部门一般公共预算拨款支出预算</w:t>
      </w:r>
      <w:r>
        <w:rPr>
          <w:rFonts w:hint="eastAsia" w:eastAsia="仿宋_GB2312"/>
          <w:sz w:val="32"/>
          <w:szCs w:val="32"/>
          <w:lang w:val="en-US" w:eastAsia="zh-CN"/>
        </w:rPr>
        <w:t>172</w:t>
      </w:r>
      <w:r>
        <w:rPr>
          <w:rFonts w:eastAsia="仿宋_GB2312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（一）基本支出：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年本部门基本支出预算数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167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（二）项目支出：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年本部门项目支出预算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万元，主要是部门为完成特定行政</w:t>
      </w:r>
      <w:r>
        <w:rPr>
          <w:rFonts w:eastAsia="仿宋_GB2312"/>
          <w:sz w:val="32"/>
          <w:szCs w:val="32"/>
        </w:rPr>
        <w:t>工作任务或事业发展目标而发生的支出，包括有关事业发展专项、专项业务费、基本建设支出等，其中：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ascii="仿宋" w:hAnsi="仿宋" w:eastAsia="仿宋" w:cs="仿宋"/>
          <w:sz w:val="32"/>
          <w:szCs w:val="32"/>
        </w:rPr>
        <w:t>支出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万元，主要用于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ascii="仿宋" w:hAnsi="仿宋" w:eastAsia="仿宋" w:cs="仿宋"/>
          <w:sz w:val="32"/>
          <w:szCs w:val="32"/>
        </w:rPr>
        <w:t>方面</w:t>
      </w:r>
      <w:r>
        <w:rPr>
          <w:rFonts w:hint="eastAsia" w:ascii="宋体" w:hAnsi="宋体" w:cs="宋体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>
      <w:pPr>
        <w:widowControl/>
        <w:spacing w:line="600" w:lineRule="exact"/>
        <w:ind w:firstLine="320" w:firstLineChars="100"/>
        <w:rPr>
          <w:rFonts w:hint="eastAsia" w:eastAsia="仿宋_GB2312"/>
          <w:b w:val="0"/>
          <w:bCs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>2022</w:t>
      </w:r>
      <w:r>
        <w:rPr>
          <w:rFonts w:eastAsia="仿宋_GB2312"/>
          <w:sz w:val="32"/>
          <w:szCs w:val="32"/>
        </w:rPr>
        <w:t>年</w:t>
      </w:r>
      <w:r>
        <w:rPr>
          <w:rFonts w:eastAsia="仿宋_GB2312"/>
          <w:b w:val="0"/>
          <w:bCs/>
          <w:sz w:val="32"/>
          <w:szCs w:val="32"/>
        </w:rPr>
        <w:t>本部门无政府性基金安排的支出</w:t>
      </w:r>
      <w:r>
        <w:rPr>
          <w:rFonts w:hint="eastAsia" w:eastAsia="仿宋_GB2312"/>
          <w:b w:val="0"/>
          <w:bCs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（一）机关运行经费：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年本部门机关本级家行政事业单位的机关运行经费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万元，比上年预算增加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0.05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（二）“三公”经费预算：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年本部门机关本级行政事业单位“三公”经费预算数为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万元，其中，公务接待费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万元，公务用车购置及运行费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万元（其中，公务用车购置费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万元，公务用车运行费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万元），因公出国（境）费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年“三公”经费预算较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</w:t>
      </w:r>
      <w:r>
        <w:rPr>
          <w:rFonts w:hint="eastAsia" w:ascii="仿宋_GB2312" w:hAnsi="仿宋_GB2312" w:eastAsia="仿宋_GB2312" w:cs="仿宋_GB2312"/>
          <w:sz w:val="32"/>
          <w:szCs w:val="32"/>
        </w:rPr>
        <w:t>年减少（增加或持平）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（三）一般性支出情况：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年本部门会议费预算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万元，拟召开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会议，人数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人；培训费预算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万元，拟开展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培训，人数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人，内容为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散装水泥推广应用培训会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；拟举办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0次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节庆、晚会、论坛、赛事活动，经费预算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万元。</w:t>
      </w:r>
      <w:bookmarkStart w:id="0" w:name="_GoBack"/>
      <w:bookmarkEnd w:id="0"/>
    </w:p>
    <w:p>
      <w:pPr>
        <w:widowControl/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（四）政府采购情况：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年本部门政府采购预算总额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万元，其中，货物类采购预算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万元；工程类采购预算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万元；服务类采购预算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万元。</w:t>
      </w:r>
    </w:p>
    <w:p>
      <w:pPr>
        <w:widowControl/>
        <w:numPr>
          <w:ilvl w:val="0"/>
          <w:numId w:val="4"/>
        </w:numPr>
        <w:spacing w:line="600" w:lineRule="exact"/>
        <w:ind w:firstLine="660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政府购买服务情况说明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</w:rPr>
        <w:t>年本部门政府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购买服务</w:t>
      </w:r>
      <w:r>
        <w:rPr>
          <w:rFonts w:hint="eastAsia" w:ascii="仿宋_GB2312" w:hAnsi="仿宋_GB2312" w:eastAsia="仿宋_GB2312" w:cs="仿宋_GB2312"/>
          <w:sz w:val="32"/>
          <w:szCs w:val="32"/>
        </w:rPr>
        <w:t>预算总额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widowControl/>
        <w:numPr>
          <w:ilvl w:val="0"/>
          <w:numId w:val="4"/>
        </w:numPr>
        <w:spacing w:line="600" w:lineRule="exact"/>
        <w:ind w:left="0" w:leftChars="0" w:firstLine="660" w:firstLineChars="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国有资产占用使用及新增资产配置情况：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目前，本部门共有公务用车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辆，其中，机要通信用车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辆，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应急保障用车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辆，执法执勤用车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辆，特种专业技术用车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辆，其他按照规定配备的公务用车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辆；单位价值50万元以上通用设备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年拟新增配置公务用车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辆，其中，机要通信用车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辆，应急保障用车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辆，执法执勤用车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辆，特种专业技术用车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辆，其他按照规定配备的公务用车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辆；新增配备单位价值50万元以上通用设备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台。</w:t>
      </w:r>
    </w:p>
    <w:p>
      <w:pPr>
        <w:widowControl/>
        <w:spacing w:line="600" w:lineRule="exact"/>
        <w:ind w:firstLine="660"/>
        <w:jc w:val="left"/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  <w:t>）预算绩效目标说明：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0"/>
          <w:szCs w:val="30"/>
          <w:shd w:val="clear" w:fill="FFFFFF"/>
          <w:lang w:val="en-US" w:eastAsia="zh-CN" w:bidi="ar"/>
        </w:rPr>
        <w:t>新型墙体材料和散装水泥推广应用</w:t>
      </w:r>
      <w:r>
        <w:rPr>
          <w:rFonts w:hint="eastAsia" w:ascii="仿宋" w:hAnsi="仿宋" w:eastAsia="仿宋" w:cs="仿宋"/>
          <w:sz w:val="32"/>
          <w:szCs w:val="32"/>
        </w:rPr>
        <w:t>项目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支出纳入了财政绩效评价，财政绩效评价结果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为良好。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eastAsia="zh-CN"/>
        </w:rPr>
        <w:t>年本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部门所有支出实行绩效目标管理。纳入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172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万元，其中，基本支出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167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万元，项目支出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</w:rPr>
        <w:t>万元，具体绩效目标详见报表。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>
      <w:pPr>
        <w:widowControl/>
        <w:numPr>
          <w:ilvl w:val="0"/>
          <w:numId w:val="0"/>
        </w:numPr>
        <w:spacing w:line="600" w:lineRule="exact"/>
        <w:jc w:val="left"/>
        <w:rPr>
          <w:rFonts w:hint="eastAsia" w:eastAsia="黑体"/>
          <w:bCs/>
          <w:kern w:val="0"/>
          <w:sz w:val="32"/>
          <w:szCs w:val="32"/>
          <w:lang w:eastAsia="zh-CN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97328E"/>
    <w:multiLevelType w:val="singleLevel"/>
    <w:tmpl w:val="8C97328E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A6EB3D2"/>
    <w:multiLevelType w:val="singleLevel"/>
    <w:tmpl w:val="EA6EB3D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C4611DB"/>
    <w:multiLevelType w:val="singleLevel"/>
    <w:tmpl w:val="4C4611D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63E6BDE"/>
    <w:multiLevelType w:val="singleLevel"/>
    <w:tmpl w:val="663E6BDE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2D7251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17D2882"/>
    <w:rsid w:val="0227293C"/>
    <w:rsid w:val="045E24A9"/>
    <w:rsid w:val="04605D75"/>
    <w:rsid w:val="06ED1CCE"/>
    <w:rsid w:val="07F12954"/>
    <w:rsid w:val="0AEE53BA"/>
    <w:rsid w:val="0D121618"/>
    <w:rsid w:val="0D5D6C5C"/>
    <w:rsid w:val="0E4716BA"/>
    <w:rsid w:val="0E544D74"/>
    <w:rsid w:val="0EE707F6"/>
    <w:rsid w:val="0FDE127A"/>
    <w:rsid w:val="130D0C27"/>
    <w:rsid w:val="134A2874"/>
    <w:rsid w:val="14F92240"/>
    <w:rsid w:val="15EF31E0"/>
    <w:rsid w:val="16D23ADD"/>
    <w:rsid w:val="1CA506E8"/>
    <w:rsid w:val="1D5F7B08"/>
    <w:rsid w:val="1D93708A"/>
    <w:rsid w:val="1DA63635"/>
    <w:rsid w:val="1DD9425D"/>
    <w:rsid w:val="1EBB1BEE"/>
    <w:rsid w:val="1FD247DF"/>
    <w:rsid w:val="212013EF"/>
    <w:rsid w:val="21241BCD"/>
    <w:rsid w:val="21BC49E6"/>
    <w:rsid w:val="28E94267"/>
    <w:rsid w:val="2B59057C"/>
    <w:rsid w:val="2C512791"/>
    <w:rsid w:val="2C940ED8"/>
    <w:rsid w:val="2D921E6F"/>
    <w:rsid w:val="301F6F84"/>
    <w:rsid w:val="34F50AD6"/>
    <w:rsid w:val="363C59DE"/>
    <w:rsid w:val="393E63DF"/>
    <w:rsid w:val="3F016907"/>
    <w:rsid w:val="438C6E72"/>
    <w:rsid w:val="45133691"/>
    <w:rsid w:val="46DA670A"/>
    <w:rsid w:val="47A27ED1"/>
    <w:rsid w:val="48305828"/>
    <w:rsid w:val="48A93870"/>
    <w:rsid w:val="4BE75353"/>
    <w:rsid w:val="4C312198"/>
    <w:rsid w:val="4ED31142"/>
    <w:rsid w:val="504D4E4D"/>
    <w:rsid w:val="512618DB"/>
    <w:rsid w:val="5268345B"/>
    <w:rsid w:val="52722142"/>
    <w:rsid w:val="55130421"/>
    <w:rsid w:val="554808C5"/>
    <w:rsid w:val="56017B40"/>
    <w:rsid w:val="56632179"/>
    <w:rsid w:val="58660C09"/>
    <w:rsid w:val="5A5A6D5E"/>
    <w:rsid w:val="5A92668A"/>
    <w:rsid w:val="5F4128AA"/>
    <w:rsid w:val="5F5F1CBD"/>
    <w:rsid w:val="602B2290"/>
    <w:rsid w:val="60F0595B"/>
    <w:rsid w:val="610C5D4B"/>
    <w:rsid w:val="63181C3A"/>
    <w:rsid w:val="646F1D07"/>
    <w:rsid w:val="68F013AE"/>
    <w:rsid w:val="6C1E5983"/>
    <w:rsid w:val="6D25023E"/>
    <w:rsid w:val="6D4A1E18"/>
    <w:rsid w:val="6D8B6FE8"/>
    <w:rsid w:val="6EEE573F"/>
    <w:rsid w:val="712B304A"/>
    <w:rsid w:val="733177D2"/>
    <w:rsid w:val="7505670F"/>
    <w:rsid w:val="751B5D91"/>
    <w:rsid w:val="769A1DB9"/>
    <w:rsid w:val="79737D0B"/>
    <w:rsid w:val="7F0B302B"/>
    <w:rsid w:val="7F7D0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4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木子先森</cp:lastModifiedBy>
  <cp:lastPrinted>2021-03-23T06:22:00Z</cp:lastPrinted>
  <dcterms:modified xsi:type="dcterms:W3CDTF">2021-11-22T03:07:52Z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4FB2BE644B5D48A2AEEE9EEEA2316787</vt:lpwstr>
  </property>
</Properties>
</file>