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jc w:val="center"/>
        <w:rPr>
          <w:sz w:val="56"/>
          <w:szCs w:val="56"/>
        </w:rPr>
      </w:pPr>
    </w:p>
    <w:p>
      <w:pPr>
        <w:pStyle w:val="10"/>
        <w:jc w:val="center"/>
        <w:rPr>
          <w:sz w:val="56"/>
          <w:szCs w:val="56"/>
        </w:rPr>
      </w:pPr>
    </w:p>
    <w:p>
      <w:pPr>
        <w:pStyle w:val="10"/>
        <w:jc w:val="center"/>
        <w:rPr>
          <w:sz w:val="84"/>
          <w:szCs w:val="84"/>
        </w:rPr>
      </w:pPr>
    </w:p>
    <w:p>
      <w:pPr>
        <w:pStyle w:val="10"/>
        <w:jc w:val="center"/>
        <w:rPr>
          <w:sz w:val="84"/>
          <w:szCs w:val="84"/>
        </w:rPr>
      </w:pPr>
    </w:p>
    <w:p>
      <w:pPr>
        <w:pStyle w:val="10"/>
        <w:jc w:val="center"/>
        <w:rPr>
          <w:color w:val="auto"/>
          <w:sz w:val="84"/>
          <w:szCs w:val="84"/>
        </w:rPr>
      </w:pPr>
      <w:r>
        <w:rPr>
          <w:rFonts w:hint="eastAsia"/>
          <w:color w:val="auto"/>
          <w:sz w:val="84"/>
          <w:szCs w:val="84"/>
        </w:rPr>
        <w:t>20</w:t>
      </w:r>
      <w:r>
        <w:rPr>
          <w:rFonts w:hint="eastAsia"/>
          <w:color w:val="auto"/>
          <w:sz w:val="84"/>
          <w:szCs w:val="84"/>
          <w:lang w:val="en-US" w:eastAsia="zh-CN"/>
        </w:rPr>
        <w:t>20</w:t>
      </w:r>
      <w:r>
        <w:rPr>
          <w:rFonts w:hint="eastAsia"/>
          <w:color w:val="auto"/>
          <w:sz w:val="84"/>
          <w:szCs w:val="84"/>
        </w:rPr>
        <w:t>年度</w:t>
      </w:r>
    </w:p>
    <w:p>
      <w:pPr>
        <w:pStyle w:val="10"/>
        <w:jc w:val="center"/>
        <w:rPr>
          <w:color w:val="auto"/>
          <w:sz w:val="84"/>
          <w:szCs w:val="84"/>
        </w:rPr>
      </w:pPr>
      <w:r>
        <w:rPr>
          <w:rFonts w:hint="eastAsia"/>
          <w:color w:val="auto"/>
          <w:sz w:val="84"/>
          <w:szCs w:val="84"/>
          <w:lang w:eastAsia="zh-CN"/>
        </w:rPr>
        <w:t>湘乡市建设工程质量安全监督站</w:t>
      </w:r>
      <w:r>
        <w:rPr>
          <w:rFonts w:hint="eastAsia"/>
          <w:color w:val="auto"/>
          <w:sz w:val="84"/>
          <w:szCs w:val="84"/>
        </w:rPr>
        <w:t>单位部门决算</w:t>
      </w:r>
    </w:p>
    <w:p>
      <w:pPr>
        <w:pStyle w:val="10"/>
        <w:jc w:val="center"/>
        <w:rPr>
          <w:sz w:val="84"/>
          <w:szCs w:val="84"/>
        </w:rPr>
      </w:pPr>
    </w:p>
    <w:p>
      <w:pPr>
        <w:pStyle w:val="10"/>
        <w:jc w:val="center"/>
        <w:rPr>
          <w:sz w:val="56"/>
          <w:szCs w:val="56"/>
        </w:rPr>
      </w:pPr>
    </w:p>
    <w:p>
      <w:pPr>
        <w:pStyle w:val="10"/>
        <w:jc w:val="center"/>
        <w:rPr>
          <w:sz w:val="56"/>
          <w:szCs w:val="56"/>
        </w:rPr>
      </w:pPr>
    </w:p>
    <w:p>
      <w:pPr>
        <w:pStyle w:val="10"/>
        <w:jc w:val="center"/>
        <w:rPr>
          <w:sz w:val="56"/>
          <w:szCs w:val="56"/>
        </w:rPr>
      </w:pPr>
    </w:p>
    <w:p>
      <w:pPr>
        <w:pStyle w:val="10"/>
        <w:jc w:val="center"/>
        <w:rPr>
          <w:sz w:val="56"/>
          <w:szCs w:val="56"/>
        </w:rPr>
      </w:pPr>
    </w:p>
    <w:p>
      <w:pPr>
        <w:pStyle w:val="10"/>
        <w:spacing w:line="500" w:lineRule="exact"/>
        <w:jc w:val="center"/>
        <w:rPr>
          <w:b/>
          <w:sz w:val="36"/>
          <w:szCs w:val="28"/>
        </w:rPr>
      </w:pPr>
      <w:r>
        <w:rPr>
          <w:rFonts w:hint="eastAsia"/>
          <w:b/>
          <w:sz w:val="36"/>
          <w:szCs w:val="28"/>
        </w:rPr>
        <w:t>目录</w:t>
      </w:r>
    </w:p>
    <w:p>
      <w:pPr>
        <w:pStyle w:val="10"/>
        <w:spacing w:line="500" w:lineRule="exact"/>
        <w:rPr>
          <w:rFonts w:ascii="仿宋_GB2312" w:hAnsi="仿宋_GB2312" w:cs="仿宋_GB2312"/>
          <w:b/>
          <w:sz w:val="28"/>
          <w:szCs w:val="28"/>
        </w:rPr>
      </w:pPr>
      <w:r>
        <w:rPr>
          <w:rFonts w:hint="eastAsia"/>
          <w:b/>
          <w:sz w:val="28"/>
          <w:szCs w:val="28"/>
        </w:rPr>
        <w:t>第一部分单位概况</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0"/>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20年度部门决算表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0"/>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0"/>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20年度部门决算情况说明</w:t>
      </w:r>
    </w:p>
    <w:p>
      <w:pPr>
        <w:pStyle w:val="10"/>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七、一般公共预算财政拨款三公经费支出决算情况说明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关于机关运行经费支出说明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十一、关于政府采购支出说明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十二、关于国有资产占用情况说明</w:t>
      </w:r>
    </w:p>
    <w:p>
      <w:pPr>
        <w:pStyle w:val="10"/>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十三、关</w:t>
      </w:r>
      <w:r>
        <w:rPr>
          <w:rFonts w:hint="eastAsia" w:cs="仿宋_GB2312" w:asciiTheme="minorEastAsia" w:hAnsiTheme="minorEastAsia" w:eastAsiaTheme="minorEastAsia"/>
          <w:sz w:val="28"/>
          <w:szCs w:val="28"/>
        </w:rPr>
        <w:t>于2020年</w:t>
      </w:r>
      <w:r>
        <w:rPr>
          <w:rFonts w:hint="eastAsia" w:ascii="仿宋_GB2312" w:hAnsi="仿宋_GB2312" w:cs="仿宋_GB2312" w:eastAsiaTheme="minorEastAsia"/>
          <w:sz w:val="28"/>
          <w:szCs w:val="28"/>
        </w:rPr>
        <w:t>度预算绩效情况的说明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rFonts w:hint="eastAsia"/>
          <w:sz w:val="84"/>
          <w:szCs w:val="84"/>
        </w:rPr>
      </w:pPr>
      <w:r>
        <w:rPr>
          <w:rFonts w:hint="eastAsia"/>
          <w:sz w:val="84"/>
          <w:szCs w:val="84"/>
        </w:rPr>
        <w:br w:type="page"/>
      </w:r>
    </w:p>
    <w:p>
      <w:pPr>
        <w:pStyle w:val="10"/>
        <w:jc w:val="center"/>
        <w:rPr>
          <w:rFonts w:hint="eastAsia"/>
          <w:sz w:val="84"/>
          <w:szCs w:val="84"/>
        </w:rPr>
      </w:pPr>
    </w:p>
    <w:p>
      <w:pPr>
        <w:pStyle w:val="10"/>
        <w:jc w:val="center"/>
        <w:rPr>
          <w:sz w:val="84"/>
          <w:szCs w:val="84"/>
        </w:rPr>
      </w:pPr>
      <w:r>
        <w:rPr>
          <w:rFonts w:hint="eastAsia"/>
          <w:sz w:val="84"/>
          <w:szCs w:val="84"/>
        </w:rPr>
        <w:t>第一部分</w:t>
      </w:r>
    </w:p>
    <w:p>
      <w:pPr>
        <w:pStyle w:val="10"/>
        <w:jc w:val="center"/>
        <w:rPr>
          <w:sz w:val="84"/>
          <w:szCs w:val="84"/>
        </w:rPr>
      </w:pPr>
    </w:p>
    <w:p>
      <w:pPr>
        <w:pStyle w:val="10"/>
        <w:jc w:val="center"/>
        <w:rPr>
          <w:color w:val="auto"/>
          <w:sz w:val="84"/>
          <w:szCs w:val="84"/>
        </w:rPr>
      </w:pPr>
      <w:r>
        <w:rPr>
          <w:rFonts w:hint="eastAsia"/>
          <w:color w:val="auto"/>
          <w:sz w:val="84"/>
          <w:szCs w:val="84"/>
          <w:lang w:eastAsia="zh-CN"/>
        </w:rPr>
        <w:t>湘乡市建设工程质量安全监督站</w:t>
      </w:r>
      <w:r>
        <w:rPr>
          <w:rFonts w:hint="eastAsia"/>
          <w:color w:val="auto"/>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pStyle w:val="11"/>
        <w:ind w:left="720" w:firstLine="0" w:firstLineChars="0"/>
        <w:jc w:val="left"/>
        <w:rPr>
          <w:rFonts w:ascii="黑体" w:hAnsi="黑体" w:eastAsia="黑体"/>
          <w:sz w:val="32"/>
          <w:szCs w:val="32"/>
        </w:rPr>
      </w:pPr>
    </w:p>
    <w:p>
      <w:pPr>
        <w:rPr>
          <w:rFonts w:hint="eastAsia" w:ascii="黑体" w:hAnsi="黑体" w:eastAsia="黑体"/>
          <w:color w:val="auto"/>
          <w:sz w:val="32"/>
          <w:szCs w:val="32"/>
          <w:lang w:eastAsia="zh-CN"/>
        </w:rPr>
      </w:pPr>
      <w:r>
        <w:rPr>
          <w:rFonts w:hint="eastAsia" w:ascii="黑体" w:hAnsi="黑体" w:eastAsia="黑体"/>
          <w:color w:val="auto"/>
          <w:sz w:val="32"/>
          <w:szCs w:val="32"/>
          <w:lang w:eastAsia="zh-CN"/>
        </w:rPr>
        <w:br w:type="page"/>
      </w:r>
    </w:p>
    <w:p>
      <w:pPr>
        <w:pStyle w:val="11"/>
        <w:numPr>
          <w:ilvl w:val="0"/>
          <w:numId w:val="0"/>
        </w:numPr>
        <w:ind w:leftChars="0"/>
        <w:jc w:val="left"/>
        <w:rPr>
          <w:rFonts w:ascii="黑体" w:hAnsi="黑体" w:eastAsia="黑体"/>
          <w:color w:val="auto"/>
          <w:sz w:val="32"/>
          <w:szCs w:val="32"/>
        </w:rPr>
      </w:pPr>
      <w:r>
        <w:rPr>
          <w:rFonts w:hint="eastAsia" w:ascii="黑体" w:hAnsi="黑体" w:eastAsia="黑体"/>
          <w:color w:val="auto"/>
          <w:sz w:val="32"/>
          <w:szCs w:val="32"/>
          <w:lang w:eastAsia="zh-CN"/>
        </w:rPr>
        <w:t>一、</w:t>
      </w:r>
      <w:r>
        <w:rPr>
          <w:rFonts w:ascii="黑体" w:hAnsi="黑体" w:eastAsia="黑体"/>
          <w:color w:val="auto"/>
          <w:sz w:val="32"/>
          <w:szCs w:val="32"/>
        </w:rPr>
        <w:t>部门职责</w:t>
      </w:r>
    </w:p>
    <w:p>
      <w:pPr>
        <w:widowControl/>
        <w:ind w:firstLine="600" w:firstLineChars="200"/>
        <w:rPr>
          <w:rFonts w:hint="eastAsia" w:ascii="宋体" w:hAnsi="宋体"/>
          <w:bCs/>
          <w:color w:val="auto"/>
          <w:kern w:val="0"/>
          <w:sz w:val="30"/>
          <w:szCs w:val="30"/>
        </w:rPr>
      </w:pPr>
      <w:r>
        <w:rPr>
          <w:rFonts w:hint="eastAsia" w:ascii="宋体" w:hAnsi="宋体"/>
          <w:color w:val="auto"/>
          <w:sz w:val="30"/>
          <w:szCs w:val="30"/>
        </w:rPr>
        <w:t>主要执行贯彻落实执行国家有关建设工程质量安全法律、法规，工程强制性标准；负责全市新建房屋建筑建设及市政基础设施工程建设的质量安全监督工作，接受房屋建筑工程竣工验收备案，负责施工企业安全生产评价、考核工作；负责对在建工程检测、试验行为监督管理，受理房屋建筑工程质量投诉、建筑施工安全投诉，负责全市建设工程监理机构资质管理及业务指导；负责全市建设工程检测试验机构业务管理；负责商品砼及预制构件生产企业监督管理工作，负责城区、经济开发区、城北先导区建设工地围墙内的现场文明施工和全市竣工工程评优、在建工程达标验收工作的监督；负责全市在建工程项目起重机械设备监管工作。</w:t>
      </w:r>
    </w:p>
    <w:p>
      <w:pPr>
        <w:widowControl/>
        <w:spacing w:line="600" w:lineRule="exact"/>
        <w:rPr>
          <w:rFonts w:ascii="黑体" w:hAnsi="黑体" w:eastAsia="黑体"/>
          <w:bCs/>
          <w:color w:val="auto"/>
          <w:kern w:val="0"/>
          <w:sz w:val="32"/>
          <w:szCs w:val="32"/>
        </w:rPr>
      </w:pPr>
      <w:r>
        <w:rPr>
          <w:rFonts w:hint="eastAsia" w:ascii="黑体" w:hAnsi="黑体" w:eastAsia="黑体"/>
          <w:bCs/>
          <w:color w:val="auto"/>
          <w:kern w:val="0"/>
          <w:sz w:val="32"/>
          <w:szCs w:val="32"/>
        </w:rPr>
        <w:t>二、机构设置及决算单位构成</w:t>
      </w:r>
    </w:p>
    <w:p>
      <w:pPr>
        <w:widowControl/>
        <w:spacing w:line="600" w:lineRule="exact"/>
        <w:ind w:firstLine="640" w:firstLineChars="200"/>
        <w:rPr>
          <w:rFonts w:hint="eastAsia" w:ascii="宋体" w:hAnsi="宋体"/>
          <w:bCs/>
          <w:color w:val="auto"/>
          <w:kern w:val="0"/>
          <w:sz w:val="30"/>
          <w:szCs w:val="30"/>
        </w:rPr>
      </w:pPr>
      <w:r>
        <w:rPr>
          <w:rFonts w:hint="eastAsia" w:asciiTheme="minorEastAsia" w:hAnsiTheme="minorEastAsia"/>
          <w:bCs/>
          <w:color w:val="auto"/>
          <w:kern w:val="0"/>
          <w:sz w:val="32"/>
          <w:szCs w:val="32"/>
        </w:rPr>
        <w:t>（一）内设机构设置</w:t>
      </w:r>
      <w:r>
        <w:rPr>
          <w:rFonts w:hint="eastAsia" w:asciiTheme="minorEastAsia" w:hAnsiTheme="minorEastAsia"/>
          <w:bCs/>
          <w:color w:val="auto"/>
          <w:kern w:val="0"/>
          <w:sz w:val="32"/>
          <w:szCs w:val="32"/>
          <w:lang w:eastAsia="zh-CN"/>
        </w:rPr>
        <w:t>：湘乡市建设工程质量安全监督站</w:t>
      </w:r>
      <w:r>
        <w:rPr>
          <w:rFonts w:hint="eastAsia" w:asciiTheme="minorEastAsia" w:hAnsiTheme="minorEastAsia"/>
          <w:bCs/>
          <w:color w:val="auto"/>
          <w:kern w:val="0"/>
          <w:sz w:val="32"/>
          <w:szCs w:val="32"/>
        </w:rPr>
        <w:t>单位内设机构包括：</w:t>
      </w:r>
      <w:r>
        <w:rPr>
          <w:rFonts w:hint="eastAsia" w:ascii="宋体" w:hAnsi="宋体"/>
          <w:bCs/>
          <w:color w:val="auto"/>
          <w:kern w:val="0"/>
          <w:sz w:val="30"/>
          <w:szCs w:val="30"/>
        </w:rPr>
        <w:t>综合室、建筑工程监督一室、建设工程监督二室、市政监督室、检测监督室按《关于市住建局所属事业单位分类和机构编制调整事项的通知》（湘机编（2015）25号）本单位为公益一类事业单位。人员编制3</w:t>
      </w:r>
      <w:r>
        <w:rPr>
          <w:rFonts w:hint="eastAsia" w:ascii="宋体" w:hAnsi="宋体"/>
          <w:bCs/>
          <w:color w:val="auto"/>
          <w:kern w:val="0"/>
          <w:sz w:val="30"/>
          <w:szCs w:val="30"/>
          <w:lang w:val="en-US" w:eastAsia="zh-CN"/>
        </w:rPr>
        <w:t>3</w:t>
      </w:r>
      <w:r>
        <w:rPr>
          <w:rFonts w:hint="eastAsia" w:ascii="宋体" w:hAnsi="宋体"/>
          <w:bCs/>
          <w:color w:val="auto"/>
          <w:kern w:val="0"/>
          <w:sz w:val="30"/>
          <w:szCs w:val="30"/>
        </w:rPr>
        <w:t>名。</w:t>
      </w:r>
    </w:p>
    <w:p>
      <w:pPr>
        <w:widowControl/>
        <w:spacing w:line="600" w:lineRule="exact"/>
        <w:ind w:firstLine="640" w:firstLineChars="200"/>
        <w:rPr>
          <w:rFonts w:ascii="黑体" w:hAnsi="黑体" w:eastAsia="黑体"/>
          <w:color w:val="auto"/>
          <w:sz w:val="28"/>
          <w:szCs w:val="28"/>
        </w:rPr>
      </w:pPr>
      <w:r>
        <w:rPr>
          <w:rFonts w:hint="eastAsia" w:asciiTheme="minorEastAsia" w:hAnsiTheme="minorEastAsia"/>
          <w:bCs/>
          <w:color w:val="auto"/>
          <w:kern w:val="0"/>
          <w:sz w:val="32"/>
          <w:szCs w:val="32"/>
        </w:rPr>
        <w:t>（二）决算单位构成</w:t>
      </w:r>
      <w:r>
        <w:rPr>
          <w:rFonts w:hint="eastAsia" w:asciiTheme="minorEastAsia" w:hAnsiTheme="minorEastAsia"/>
          <w:bCs/>
          <w:color w:val="auto"/>
          <w:kern w:val="0"/>
          <w:sz w:val="32"/>
          <w:szCs w:val="32"/>
          <w:lang w:eastAsia="zh-CN"/>
        </w:rPr>
        <w:t>：湘乡市建设工程质量安全监督站</w:t>
      </w:r>
      <w:r>
        <w:rPr>
          <w:rFonts w:hint="eastAsia" w:asciiTheme="minorEastAsia" w:hAnsiTheme="minorEastAsia"/>
          <w:bCs/>
          <w:color w:val="auto"/>
          <w:kern w:val="0"/>
          <w:sz w:val="32"/>
          <w:szCs w:val="32"/>
        </w:rPr>
        <w:t>单位</w:t>
      </w:r>
      <w:r>
        <w:rPr>
          <w:rFonts w:asciiTheme="minorEastAsia" w:hAnsiTheme="minorEastAsia"/>
          <w:bCs/>
          <w:color w:val="auto"/>
          <w:kern w:val="0"/>
          <w:sz w:val="32"/>
          <w:szCs w:val="32"/>
        </w:rPr>
        <w:t>2019</w:t>
      </w:r>
      <w:r>
        <w:rPr>
          <w:rFonts w:hint="eastAsia" w:asciiTheme="minorEastAsia" w:hAnsiTheme="minorEastAsia"/>
          <w:bCs/>
          <w:color w:val="auto"/>
          <w:kern w:val="0"/>
          <w:sz w:val="32"/>
          <w:szCs w:val="32"/>
        </w:rPr>
        <w:t>年部门决算汇总公开单位构成包括</w:t>
      </w:r>
      <w:r>
        <w:rPr>
          <w:rFonts w:hint="eastAsia" w:asciiTheme="minorEastAsia" w:hAnsiTheme="minorEastAsia"/>
          <w:bCs/>
          <w:color w:val="auto"/>
          <w:kern w:val="0"/>
          <w:sz w:val="32"/>
          <w:szCs w:val="32"/>
          <w:lang w:eastAsia="zh-CN"/>
        </w:rPr>
        <w:t>：</w:t>
      </w:r>
      <w:r>
        <w:rPr>
          <w:rFonts w:hint="eastAsia" w:asciiTheme="minorEastAsia" w:hAnsiTheme="minorEastAsia"/>
          <w:bCs/>
          <w:color w:val="auto"/>
          <w:kern w:val="0"/>
          <w:sz w:val="32"/>
          <w:szCs w:val="32"/>
        </w:rPr>
        <w:t>单位本级</w:t>
      </w:r>
    </w:p>
    <w:p>
      <w:pPr>
        <w:jc w:val="center"/>
        <w:rPr>
          <w:rFonts w:ascii="黑体" w:hAnsi="黑体" w:eastAsia="黑体"/>
          <w:color w:val="auto"/>
          <w:sz w:val="28"/>
          <w:szCs w:val="28"/>
        </w:rPr>
      </w:pPr>
    </w:p>
    <w:p>
      <w:pPr>
        <w:jc w:val="center"/>
        <w:rPr>
          <w:rFonts w:ascii="黑体" w:hAnsi="黑体" w:eastAsia="黑体"/>
          <w:color w:val="auto"/>
          <w:sz w:val="28"/>
          <w:szCs w:val="28"/>
        </w:rPr>
      </w:pPr>
    </w:p>
    <w:p>
      <w:pPr>
        <w:jc w:val="center"/>
        <w:rPr>
          <w:sz w:val="72"/>
          <w:szCs w:val="72"/>
        </w:rPr>
      </w:pPr>
    </w:p>
    <w:p>
      <w:pPr>
        <w:pStyle w:val="2"/>
      </w:pPr>
    </w:p>
    <w:p>
      <w:pPr>
        <w:jc w:val="center"/>
        <w:rPr>
          <w:sz w:val="72"/>
          <w:szCs w:val="72"/>
        </w:rPr>
      </w:pPr>
    </w:p>
    <w:p>
      <w:pPr>
        <w:jc w:val="center"/>
        <w:rPr>
          <w:sz w:val="72"/>
          <w:szCs w:val="72"/>
        </w:rPr>
      </w:pPr>
    </w:p>
    <w:p>
      <w:pPr>
        <w:jc w:val="center"/>
        <w:rPr>
          <w:rFonts w:hint="eastAsia" w:ascii="黑体" w:eastAsia="黑体" w:cs="黑体" w:hAnsiTheme="minorHAnsi"/>
          <w:color w:val="auto"/>
          <w:kern w:val="0"/>
          <w:sz w:val="84"/>
          <w:szCs w:val="84"/>
          <w:lang w:val="en-US" w:eastAsia="zh-CN" w:bidi="ar-SA"/>
        </w:rPr>
      </w:pPr>
    </w:p>
    <w:p>
      <w:pPr>
        <w:jc w:val="center"/>
        <w:rPr>
          <w:rFonts w:hint="eastAsia" w:ascii="黑体" w:eastAsia="黑体" w:cs="黑体" w:hAnsiTheme="minorHAnsi"/>
          <w:color w:val="auto"/>
          <w:kern w:val="0"/>
          <w:sz w:val="84"/>
          <w:szCs w:val="84"/>
          <w:lang w:val="en-US" w:eastAsia="zh-CN" w:bidi="ar-SA"/>
        </w:rPr>
      </w:pPr>
      <w:r>
        <w:rPr>
          <w:rFonts w:hint="eastAsia" w:ascii="黑体" w:eastAsia="黑体" w:cs="黑体" w:hAnsiTheme="minorHAnsi"/>
          <w:color w:val="auto"/>
          <w:kern w:val="0"/>
          <w:sz w:val="84"/>
          <w:szCs w:val="84"/>
          <w:lang w:val="en-US" w:eastAsia="zh-CN" w:bidi="ar-SA"/>
        </w:rPr>
        <w:t>第二部分</w:t>
      </w:r>
    </w:p>
    <w:p>
      <w:pPr>
        <w:jc w:val="center"/>
        <w:rPr>
          <w:rFonts w:hint="eastAsia" w:ascii="黑体" w:eastAsia="黑体" w:cs="黑体" w:hAnsiTheme="minorHAnsi"/>
          <w:color w:val="auto"/>
          <w:kern w:val="0"/>
          <w:sz w:val="84"/>
          <w:szCs w:val="84"/>
          <w:lang w:val="en-US" w:eastAsia="zh-CN" w:bidi="ar-SA"/>
        </w:rPr>
      </w:pPr>
    </w:p>
    <w:p>
      <w:pPr>
        <w:jc w:val="center"/>
        <w:rPr>
          <w:rFonts w:hint="eastAsia" w:ascii="黑体" w:eastAsia="黑体" w:cs="黑体" w:hAnsiTheme="minorHAnsi"/>
          <w:color w:val="auto"/>
          <w:kern w:val="0"/>
          <w:sz w:val="84"/>
          <w:szCs w:val="84"/>
          <w:lang w:val="en-US" w:eastAsia="zh-CN" w:bidi="ar-SA"/>
        </w:rPr>
      </w:pPr>
      <w:r>
        <w:rPr>
          <w:rFonts w:hint="eastAsia" w:ascii="黑体" w:eastAsia="黑体" w:cs="黑体" w:hAnsiTheme="minorHAnsi"/>
          <w:color w:val="auto"/>
          <w:kern w:val="0"/>
          <w:sz w:val="84"/>
          <w:szCs w:val="84"/>
          <w:lang w:val="en-US" w:eastAsia="zh-CN" w:bidi="ar-SA"/>
        </w:rPr>
        <w:t>部门决算表</w:t>
      </w:r>
    </w:p>
    <w:p>
      <w:pPr>
        <w:jc w:val="center"/>
        <w:rPr>
          <w:rFonts w:hint="eastAsia" w:ascii="黑体" w:eastAsia="黑体" w:cs="黑体" w:hAnsiTheme="minorHAnsi"/>
          <w:color w:val="auto"/>
          <w:kern w:val="0"/>
          <w:sz w:val="84"/>
          <w:szCs w:val="84"/>
          <w:lang w:val="en-US" w:eastAsia="zh-CN" w:bidi="ar-SA"/>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1701" w:right="1701" w:bottom="1701" w:left="1701" w:header="851" w:footer="992" w:gutter="0"/>
          <w:cols w:space="425" w:num="1"/>
          <w:docGrid w:type="lines" w:linePitch="312" w:charSpace="0"/>
        </w:sectPr>
      </w:pPr>
    </w:p>
    <w:tbl>
      <w:tblPr>
        <w:tblStyle w:val="6"/>
        <w:tblW w:w="14081" w:type="dxa"/>
        <w:tblInd w:w="93" w:type="dxa"/>
        <w:tblLayout w:type="autofit"/>
        <w:tblCellMar>
          <w:top w:w="0" w:type="dxa"/>
          <w:left w:w="108" w:type="dxa"/>
          <w:bottom w:w="0" w:type="dxa"/>
          <w:right w:w="108" w:type="dxa"/>
        </w:tblCellMar>
      </w:tblPr>
      <w:tblGrid>
        <w:gridCol w:w="4126"/>
        <w:gridCol w:w="449"/>
        <w:gridCol w:w="631"/>
        <w:gridCol w:w="599"/>
        <w:gridCol w:w="98"/>
        <w:gridCol w:w="232"/>
        <w:gridCol w:w="3468"/>
        <w:gridCol w:w="845"/>
        <w:gridCol w:w="1460"/>
        <w:gridCol w:w="657"/>
        <w:gridCol w:w="1516"/>
      </w:tblGrid>
      <w:tr>
        <w:tblPrEx>
          <w:tblCellMar>
            <w:top w:w="0" w:type="dxa"/>
            <w:left w:w="108" w:type="dxa"/>
            <w:bottom w:w="0" w:type="dxa"/>
            <w:right w:w="108" w:type="dxa"/>
          </w:tblCellMar>
        </w:tblPrEx>
        <w:trPr>
          <w:trHeight w:val="360" w:hRule="atLeast"/>
        </w:trPr>
        <w:tc>
          <w:tcPr>
            <w:tcW w:w="14081" w:type="dxa"/>
            <w:gridSpan w:val="11"/>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收入支出决算总表</w:t>
            </w:r>
          </w:p>
        </w:tc>
      </w:tr>
      <w:tr>
        <w:tblPrEx>
          <w:tblCellMar>
            <w:top w:w="0" w:type="dxa"/>
            <w:left w:w="108" w:type="dxa"/>
            <w:bottom w:w="0" w:type="dxa"/>
            <w:right w:w="108" w:type="dxa"/>
          </w:tblCellMar>
        </w:tblPrEx>
        <w:trPr>
          <w:trHeight w:val="199" w:hRule="atLeast"/>
        </w:trPr>
        <w:tc>
          <w:tcPr>
            <w:tcW w:w="5206"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公开01表</w:t>
            </w:r>
          </w:p>
        </w:tc>
      </w:tr>
      <w:tr>
        <w:tblPrEx>
          <w:tblCellMar>
            <w:top w:w="0" w:type="dxa"/>
            <w:left w:w="108" w:type="dxa"/>
            <w:bottom w:w="0" w:type="dxa"/>
            <w:right w:w="108" w:type="dxa"/>
          </w:tblCellMar>
        </w:tblPrEx>
        <w:trPr>
          <w:trHeight w:val="300" w:hRule="atLeast"/>
        </w:trPr>
        <w:tc>
          <w:tcPr>
            <w:tcW w:w="5206" w:type="dxa"/>
            <w:gridSpan w:val="3"/>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ascii="宋体" w:hAnsi="宋体" w:eastAsia="宋体" w:cs="宋体"/>
                <w:color w:val="000000"/>
                <w:kern w:val="0"/>
                <w:sz w:val="20"/>
                <w:szCs w:val="20"/>
              </w:rPr>
              <w:t xml:space="preserve"> </w:t>
            </w:r>
            <w:r>
              <w:rPr>
                <w:rFonts w:hint="eastAsia" w:ascii="Times New Roman" w:hAnsi="Times New Roman" w:eastAsia="仿宋_GB2312" w:cs="Times New Roman"/>
                <w:color w:val="auto"/>
                <w:kern w:val="0"/>
                <w:szCs w:val="21"/>
                <w:lang w:eastAsia="zh-CN"/>
              </w:rPr>
              <w:t>湘乡市建设工程质量安全监督站</w:t>
            </w:r>
          </w:p>
        </w:tc>
        <w:tc>
          <w:tcPr>
            <w:tcW w:w="697"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3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5773"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657"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16"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340" w:hRule="atLeast"/>
        </w:trPr>
        <w:tc>
          <w:tcPr>
            <w:tcW w:w="5805"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8276"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决算数</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230"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633"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276.24</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lang w:eastAsia="zh-CN"/>
              </w:rPr>
              <w:t>二</w:t>
            </w:r>
            <w:r>
              <w:rPr>
                <w:rFonts w:hint="eastAsia" w:ascii="宋体" w:hAnsi="宋体" w:eastAsia="宋体" w:cs="宋体"/>
                <w:kern w:val="0"/>
                <w:sz w:val="22"/>
              </w:rPr>
              <w:t>、</w:t>
            </w:r>
            <w:r>
              <w:rPr>
                <w:rFonts w:hint="eastAsia" w:ascii="宋体" w:hAnsi="宋体" w:eastAsia="宋体" w:cs="宋体"/>
                <w:kern w:val="0"/>
                <w:sz w:val="22"/>
                <w:lang w:eastAsia="zh-CN"/>
              </w:rPr>
              <w:t>社会保障和就业支出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34.22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lang w:eastAsia="zh-CN"/>
              </w:rPr>
              <w:t>三、卫生健康支出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16.59</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四、上级补助收入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lang w:eastAsia="zh-CN"/>
              </w:rPr>
              <w:t>四、城乡社区支出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360.12</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五、事业收入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194.33</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lang w:eastAsia="zh-CN"/>
              </w:rPr>
              <w:t>五、住房保障支出</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六、经营收入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七、附属单位上缴收入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left"/>
              <w:rPr>
                <w:rFonts w:ascii="宋体" w:hAnsi="宋体" w:eastAsia="宋体" w:cs="宋体"/>
                <w:kern w:val="0"/>
                <w:sz w:val="22"/>
              </w:rPr>
            </w:pPr>
            <w:r>
              <w:rPr>
                <w:rFonts w:hint="eastAsia" w:ascii="宋体" w:hAnsi="宋体" w:eastAsia="宋体" w:cs="宋体"/>
                <w:kern w:val="0"/>
                <w:sz w:val="22"/>
              </w:rPr>
              <w:t>八、其他收入</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0.0</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0"/>
                <w:szCs w:val="20"/>
              </w:rPr>
            </w:pPr>
            <w:r>
              <w:rPr>
                <w:rFonts w:hint="eastAsia" w:ascii="宋体" w:hAnsi="宋体" w:eastAsia="宋体" w:cs="宋体"/>
                <w:kern w:val="0"/>
                <w:sz w:val="20"/>
                <w:szCs w:val="20"/>
              </w:rPr>
              <w:t>　</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b/>
                <w:bCs/>
                <w:kern w:val="0"/>
                <w:sz w:val="22"/>
              </w:rPr>
            </w:pPr>
            <w:r>
              <w:rPr>
                <w:rFonts w:hint="eastAsia" w:ascii="宋体" w:hAnsi="宋体" w:eastAsia="宋体" w:cs="宋体"/>
                <w:b/>
                <w:bCs/>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470.58</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410.93</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使用非财政拨款结余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230" w:type="dxa"/>
            <w:gridSpan w:val="2"/>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lang w:val="en-US" w:eastAsia="zh-CN"/>
              </w:rPr>
              <w:t>0.0</w:t>
            </w:r>
            <w:r>
              <w:rPr>
                <w:rFonts w:hint="eastAsia" w:ascii="宋体" w:hAnsi="宋体" w:eastAsia="宋体" w:cs="宋体"/>
                <w:kern w:val="0"/>
                <w:sz w:val="22"/>
              </w:rPr>
              <w:t>　</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结余分配</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3633"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年初结转和结余</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24.33</w:t>
            </w:r>
          </w:p>
        </w:tc>
        <w:tc>
          <w:tcPr>
            <w:tcW w:w="3798" w:type="dxa"/>
            <w:gridSpan w:val="3"/>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xml:space="preserve">                年末结转和结余</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83.97</w:t>
            </w:r>
          </w:p>
        </w:tc>
      </w:tr>
      <w:tr>
        <w:tblPrEx>
          <w:tblCellMar>
            <w:top w:w="0" w:type="dxa"/>
            <w:left w:w="108" w:type="dxa"/>
            <w:bottom w:w="0" w:type="dxa"/>
            <w:right w:w="108" w:type="dxa"/>
          </w:tblCellMar>
        </w:tblPrEx>
        <w:trPr>
          <w:trHeight w:val="340" w:hRule="atLeast"/>
        </w:trPr>
        <w:tc>
          <w:tcPr>
            <w:tcW w:w="4126"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49"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230" w:type="dxa"/>
            <w:gridSpan w:val="2"/>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494.91</w:t>
            </w:r>
          </w:p>
        </w:tc>
        <w:tc>
          <w:tcPr>
            <w:tcW w:w="3798" w:type="dxa"/>
            <w:gridSpan w:val="3"/>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84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3633" w:type="dxa"/>
            <w:gridSpan w:val="3"/>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494.91</w:t>
            </w:r>
          </w:p>
        </w:tc>
      </w:tr>
      <w:tr>
        <w:tblPrEx>
          <w:tblCellMar>
            <w:top w:w="0" w:type="dxa"/>
            <w:left w:w="108" w:type="dxa"/>
            <w:bottom w:w="0" w:type="dxa"/>
            <w:right w:w="108" w:type="dxa"/>
          </w:tblCellMar>
        </w:tblPrEx>
        <w:trPr>
          <w:trHeight w:val="1020" w:hRule="atLeast"/>
        </w:trPr>
        <w:tc>
          <w:tcPr>
            <w:tcW w:w="14081" w:type="dxa"/>
            <w:gridSpan w:val="11"/>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注：1.本表反映部门本年度的总收支和年末结转结余情况。</w:t>
            </w:r>
            <w:r>
              <w:rPr>
                <w:rFonts w:hint="eastAsia" w:ascii="宋体" w:hAnsi="宋体" w:eastAsia="宋体" w:cs="宋体"/>
                <w:kern w:val="0"/>
                <w:sz w:val="24"/>
                <w:szCs w:val="24"/>
              </w:rPr>
              <w:br w:type="textWrapping"/>
            </w:r>
            <w:r>
              <w:rPr>
                <w:rFonts w:hint="eastAsia" w:ascii="宋体" w:hAnsi="宋体" w:eastAsia="宋体" w:cs="宋体"/>
                <w:kern w:val="0"/>
                <w:sz w:val="24"/>
                <w:szCs w:val="24"/>
              </w:rPr>
              <w:t xml:space="preserve"> 2.本套报表金额单位转换时可能存在尾数误差。</w:t>
            </w: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6"/>
        <w:tblW w:w="15428" w:type="dxa"/>
        <w:tblInd w:w="0" w:type="dxa"/>
        <w:tblLayout w:type="fixed"/>
        <w:tblCellMar>
          <w:top w:w="0" w:type="dxa"/>
          <w:left w:w="0" w:type="dxa"/>
          <w:bottom w:w="0" w:type="dxa"/>
          <w:right w:w="0" w:type="dxa"/>
        </w:tblCellMar>
      </w:tblPr>
      <w:tblGrid>
        <w:gridCol w:w="492"/>
        <w:gridCol w:w="498"/>
        <w:gridCol w:w="4729"/>
        <w:gridCol w:w="1365"/>
        <w:gridCol w:w="1216"/>
        <w:gridCol w:w="1004"/>
        <w:gridCol w:w="1004"/>
        <w:gridCol w:w="1004"/>
        <w:gridCol w:w="1004"/>
        <w:gridCol w:w="3112"/>
      </w:tblGrid>
      <w:tr>
        <w:tblPrEx>
          <w:tblCellMar>
            <w:top w:w="0" w:type="dxa"/>
            <w:left w:w="0" w:type="dxa"/>
            <w:bottom w:w="0" w:type="dxa"/>
            <w:right w:w="0" w:type="dxa"/>
          </w:tblCellMar>
        </w:tblPrEx>
        <w:trPr>
          <w:trHeight w:val="435" w:hRule="atLeast"/>
        </w:trPr>
        <w:tc>
          <w:tcPr>
            <w:tcW w:w="15428" w:type="dxa"/>
            <w:gridSpan w:val="10"/>
            <w:tcBorders>
              <w:top w:val="nil"/>
              <w:left w:val="nil"/>
              <w:bottom w:val="nil"/>
              <w:right w:val="nil"/>
            </w:tcBorders>
            <w:shd w:val="clear" w:color="auto" w:fill="auto"/>
            <w:noWrap/>
            <w:tcMar>
              <w:top w:w="15" w:type="dxa"/>
              <w:left w:w="15" w:type="dxa"/>
              <w:bottom w:w="0" w:type="dxa"/>
              <w:right w:w="15" w:type="dxa"/>
            </w:tcMar>
            <w:vAlign w:val="center"/>
          </w:tcPr>
          <w:p>
            <w:pPr>
              <w:jc w:val="center"/>
              <w:rPr>
                <w:rFonts w:ascii="华文中宋" w:hAnsi="华文中宋" w:eastAsia="华文中宋" w:cs="宋体"/>
                <w:color w:val="000000"/>
                <w:sz w:val="32"/>
                <w:szCs w:val="32"/>
              </w:rPr>
            </w:pPr>
            <w:r>
              <w:rPr>
                <w:rFonts w:hint="eastAsia" w:ascii="华文中宋" w:hAnsi="华文中宋" w:eastAsia="华文中宋"/>
                <w:color w:val="000000"/>
                <w:sz w:val="32"/>
                <w:szCs w:val="32"/>
              </w:rPr>
              <w:t>收入决算表</w:t>
            </w:r>
          </w:p>
        </w:tc>
      </w:tr>
      <w:tr>
        <w:tblPrEx>
          <w:tblCellMar>
            <w:top w:w="0" w:type="dxa"/>
            <w:left w:w="0" w:type="dxa"/>
            <w:bottom w:w="0" w:type="dxa"/>
            <w:right w:w="0" w:type="dxa"/>
          </w:tblCellMar>
        </w:tblPrEx>
        <w:trPr>
          <w:trHeight w:val="285" w:hRule="atLeast"/>
        </w:trPr>
        <w:tc>
          <w:tcPr>
            <w:tcW w:w="49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498"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4729"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36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1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0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0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0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0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311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公开02表</w:t>
            </w:r>
          </w:p>
        </w:tc>
      </w:tr>
      <w:tr>
        <w:tblPrEx>
          <w:tblCellMar>
            <w:top w:w="0" w:type="dxa"/>
            <w:left w:w="0" w:type="dxa"/>
            <w:bottom w:w="0" w:type="dxa"/>
            <w:right w:w="0" w:type="dxa"/>
          </w:tblCellMar>
        </w:tblPrEx>
        <w:trPr>
          <w:trHeight w:val="285" w:hRule="atLeast"/>
        </w:trPr>
        <w:tc>
          <w:tcPr>
            <w:tcW w:w="990" w:type="dxa"/>
            <w:gridSpan w:val="2"/>
            <w:tcBorders>
              <w:top w:val="nil"/>
              <w:left w:val="nil"/>
              <w:bottom w:val="nil"/>
              <w:right w:val="nil"/>
            </w:tcBorders>
            <w:shd w:val="clear" w:color="000000" w:fill="FFFFFF"/>
            <w:noWrap/>
            <w:tcMar>
              <w:top w:w="15" w:type="dxa"/>
              <w:left w:w="15" w:type="dxa"/>
              <w:bottom w:w="0" w:type="dxa"/>
              <w:right w:w="15" w:type="dxa"/>
            </w:tcMar>
            <w:vAlign w:val="center"/>
          </w:tcPr>
          <w:p>
            <w:pPr>
              <w:rPr>
                <w:rFonts w:ascii="宋体" w:hAnsi="宋体" w:eastAsia="宋体" w:cs="宋体"/>
                <w:color w:val="000000"/>
                <w:sz w:val="20"/>
                <w:szCs w:val="20"/>
              </w:rPr>
            </w:pPr>
            <w:r>
              <w:rPr>
                <w:rFonts w:hint="eastAsia"/>
                <w:color w:val="000000"/>
                <w:sz w:val="20"/>
                <w:szCs w:val="20"/>
              </w:rPr>
              <w:t>部门：</w:t>
            </w:r>
          </w:p>
        </w:tc>
        <w:tc>
          <w:tcPr>
            <w:tcW w:w="4729" w:type="dxa"/>
            <w:tcBorders>
              <w:top w:val="nil"/>
              <w:left w:val="nil"/>
              <w:bottom w:val="nil"/>
              <w:right w:val="nil"/>
            </w:tcBorders>
            <w:shd w:val="clear" w:color="000000" w:fill="FFFFFF"/>
            <w:noWrap/>
            <w:tcMar>
              <w:top w:w="15" w:type="dxa"/>
              <w:left w:w="15" w:type="dxa"/>
              <w:bottom w:w="0" w:type="dxa"/>
              <w:right w:w="15" w:type="dxa"/>
            </w:tcMar>
            <w:vAlign w:val="center"/>
          </w:tcPr>
          <w:p>
            <w:pPr>
              <w:jc w:val="both"/>
              <w:rPr>
                <w:rFonts w:ascii="宋体" w:hAnsi="宋体" w:eastAsia="宋体" w:cs="宋体"/>
                <w:sz w:val="24"/>
                <w:szCs w:val="24"/>
              </w:rPr>
            </w:pPr>
            <w:r>
              <w:rPr>
                <w:rFonts w:hint="eastAsia" w:ascii="Times New Roman" w:hAnsi="Times New Roman" w:eastAsia="仿宋_GB2312" w:cs="Times New Roman"/>
                <w:color w:val="auto"/>
                <w:kern w:val="0"/>
                <w:szCs w:val="21"/>
                <w:lang w:eastAsia="zh-CN"/>
              </w:rPr>
              <w:t>湘乡市建设工程质量安全监督站</w:t>
            </w:r>
            <w:r>
              <w:rPr>
                <w:rFonts w:hint="eastAsia"/>
              </w:rPr>
              <w:t>　</w:t>
            </w:r>
          </w:p>
        </w:tc>
        <w:tc>
          <w:tcPr>
            <w:tcW w:w="1365"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216"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04" w:type="dxa"/>
            <w:tcBorders>
              <w:top w:val="nil"/>
              <w:left w:val="nil"/>
              <w:bottom w:val="nil"/>
              <w:right w:val="nil"/>
            </w:tcBorders>
            <w:shd w:val="clear" w:color="000000" w:fill="FFFFFF"/>
            <w:noWrap/>
            <w:tcMar>
              <w:top w:w="15" w:type="dxa"/>
              <w:left w:w="15" w:type="dxa"/>
              <w:bottom w:w="0" w:type="dxa"/>
              <w:right w:w="15" w:type="dxa"/>
            </w:tcMar>
            <w:vAlign w:val="center"/>
          </w:tcPr>
          <w:p>
            <w:pPr>
              <w:jc w:val="center"/>
              <w:rPr>
                <w:rFonts w:ascii="宋体" w:hAnsi="宋体" w:eastAsia="宋体" w:cs="宋体"/>
                <w:color w:val="000000"/>
                <w:sz w:val="20"/>
                <w:szCs w:val="20"/>
              </w:rPr>
            </w:pPr>
            <w:r>
              <w:rPr>
                <w:rFonts w:hint="eastAsia"/>
                <w:color w:val="000000"/>
                <w:sz w:val="20"/>
                <w:szCs w:val="20"/>
              </w:rPr>
              <w:t>　</w:t>
            </w:r>
          </w:p>
        </w:tc>
        <w:tc>
          <w:tcPr>
            <w:tcW w:w="100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0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1004"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rPr>
              <w:t>　</w:t>
            </w:r>
          </w:p>
        </w:tc>
        <w:tc>
          <w:tcPr>
            <w:tcW w:w="3112" w:type="dxa"/>
            <w:tcBorders>
              <w:top w:val="nil"/>
              <w:left w:val="nil"/>
              <w:bottom w:val="nil"/>
              <w:right w:val="nil"/>
            </w:tcBorders>
            <w:shd w:val="clear" w:color="000000" w:fill="FFFFFF"/>
            <w:noWrap/>
            <w:tcMar>
              <w:top w:w="15" w:type="dxa"/>
              <w:left w:w="15" w:type="dxa"/>
              <w:bottom w:w="0" w:type="dxa"/>
              <w:right w:w="15" w:type="dxa"/>
            </w:tcMar>
            <w:vAlign w:val="center"/>
          </w:tcPr>
          <w:p>
            <w:pPr>
              <w:jc w:val="right"/>
              <w:rPr>
                <w:rFonts w:ascii="宋体" w:hAnsi="宋体" w:eastAsia="宋体" w:cs="宋体"/>
                <w:color w:val="000000"/>
                <w:sz w:val="20"/>
                <w:szCs w:val="20"/>
              </w:rPr>
            </w:pPr>
            <w:r>
              <w:rPr>
                <w:rFonts w:hint="eastAsia"/>
                <w:color w:val="000000"/>
                <w:sz w:val="20"/>
                <w:szCs w:val="20"/>
              </w:rPr>
              <w:t>单位：万元</w:t>
            </w:r>
          </w:p>
        </w:tc>
      </w:tr>
      <w:tr>
        <w:tblPrEx>
          <w:tblCellMar>
            <w:top w:w="0" w:type="dxa"/>
            <w:left w:w="0" w:type="dxa"/>
            <w:bottom w:w="0" w:type="dxa"/>
            <w:right w:w="0" w:type="dxa"/>
          </w:tblCellMar>
        </w:tblPrEx>
        <w:trPr>
          <w:trHeight w:val="450" w:hRule="atLeast"/>
        </w:trPr>
        <w:tc>
          <w:tcPr>
            <w:tcW w:w="5719" w:type="dxa"/>
            <w:gridSpan w:val="3"/>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项    目</w:t>
            </w:r>
          </w:p>
        </w:tc>
        <w:tc>
          <w:tcPr>
            <w:tcW w:w="1365"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本年收入合计</w:t>
            </w:r>
          </w:p>
        </w:tc>
        <w:tc>
          <w:tcPr>
            <w:tcW w:w="1216" w:type="dxa"/>
            <w:vMerge w:val="restart"/>
            <w:tcBorders>
              <w:top w:val="single" w:color="auto" w:sz="4" w:space="0"/>
              <w:left w:val="single" w:color="auto" w:sz="4" w:space="0"/>
              <w:bottom w:val="single" w:color="auto" w:sz="4" w:space="0"/>
              <w:right w:val="single" w:color="auto" w:sz="4" w:space="0"/>
            </w:tcBorders>
            <w:shd w:val="clear" w:color="auto" w:fill="auto"/>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财政拨款收入</w:t>
            </w:r>
          </w:p>
        </w:tc>
        <w:tc>
          <w:tcPr>
            <w:tcW w:w="100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上级补助收入</w:t>
            </w:r>
          </w:p>
        </w:tc>
        <w:tc>
          <w:tcPr>
            <w:tcW w:w="100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事业收入</w:t>
            </w:r>
          </w:p>
        </w:tc>
        <w:tc>
          <w:tcPr>
            <w:tcW w:w="100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经营收入</w:t>
            </w:r>
          </w:p>
        </w:tc>
        <w:tc>
          <w:tcPr>
            <w:tcW w:w="1004"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附属单位上缴收入</w:t>
            </w:r>
          </w:p>
        </w:tc>
        <w:tc>
          <w:tcPr>
            <w:tcW w:w="3112" w:type="dxa"/>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其他收入</w:t>
            </w:r>
          </w:p>
        </w:tc>
      </w:tr>
      <w:tr>
        <w:tblPrEx>
          <w:tblCellMar>
            <w:top w:w="0" w:type="dxa"/>
            <w:left w:w="0" w:type="dxa"/>
            <w:bottom w:w="0" w:type="dxa"/>
            <w:right w:w="0" w:type="dxa"/>
          </w:tblCellMar>
        </w:tblPrEx>
        <w:trPr>
          <w:trHeight w:val="450" w:hRule="atLeast"/>
        </w:trPr>
        <w:tc>
          <w:tcPr>
            <w:tcW w:w="990" w:type="dxa"/>
            <w:gridSpan w:val="2"/>
            <w:vMerge w:val="restart"/>
            <w:tcBorders>
              <w:top w:val="single" w:color="auto" w:sz="4" w:space="0"/>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功能分类科目编码</w:t>
            </w:r>
          </w:p>
        </w:tc>
        <w:tc>
          <w:tcPr>
            <w:tcW w:w="4729" w:type="dxa"/>
            <w:vMerge w:val="restart"/>
            <w:tcBorders>
              <w:top w:val="nil"/>
              <w:left w:val="single" w:color="auto" w:sz="4" w:space="0"/>
              <w:bottom w:val="single" w:color="auto" w:sz="4" w:space="0"/>
              <w:right w:val="single" w:color="auto" w:sz="4" w:space="0"/>
            </w:tcBorders>
            <w:shd w:val="clear" w:color="000000" w:fill="FFFFFF"/>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科目名称</w:t>
            </w:r>
          </w:p>
        </w:tc>
        <w:tc>
          <w:tcPr>
            <w:tcW w:w="136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21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311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990" w:type="dxa"/>
            <w:gridSpan w:val="2"/>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4729" w:type="dxa"/>
            <w:vMerge w:val="continue"/>
            <w:tcBorders>
              <w:top w:val="nil"/>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365"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21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1004"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c>
          <w:tcPr>
            <w:tcW w:w="3112"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 w:val="24"/>
                <w:szCs w:val="24"/>
              </w:rPr>
            </w:pPr>
          </w:p>
        </w:tc>
      </w:tr>
      <w:tr>
        <w:tblPrEx>
          <w:tblCellMar>
            <w:top w:w="0" w:type="dxa"/>
            <w:left w:w="0" w:type="dxa"/>
            <w:bottom w:w="0" w:type="dxa"/>
            <w:right w:w="0" w:type="dxa"/>
          </w:tblCellMar>
        </w:tblPrEx>
        <w:trPr>
          <w:trHeight w:val="450" w:hRule="atLeast"/>
        </w:trPr>
        <w:tc>
          <w:tcPr>
            <w:tcW w:w="571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栏次</w:t>
            </w:r>
          </w:p>
        </w:tc>
        <w:tc>
          <w:tcPr>
            <w:tcW w:w="1365"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1</w:t>
            </w:r>
          </w:p>
        </w:tc>
        <w:tc>
          <w:tcPr>
            <w:tcW w:w="1216"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2</w:t>
            </w:r>
          </w:p>
        </w:tc>
        <w:tc>
          <w:tcPr>
            <w:tcW w:w="100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3</w:t>
            </w:r>
          </w:p>
        </w:tc>
        <w:tc>
          <w:tcPr>
            <w:tcW w:w="100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4</w:t>
            </w:r>
          </w:p>
        </w:tc>
        <w:tc>
          <w:tcPr>
            <w:tcW w:w="100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5</w:t>
            </w:r>
          </w:p>
        </w:tc>
        <w:tc>
          <w:tcPr>
            <w:tcW w:w="1004"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6</w:t>
            </w:r>
          </w:p>
        </w:tc>
        <w:tc>
          <w:tcPr>
            <w:tcW w:w="3112"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7</w:t>
            </w:r>
          </w:p>
        </w:tc>
      </w:tr>
      <w:tr>
        <w:tblPrEx>
          <w:tblCellMar>
            <w:top w:w="0" w:type="dxa"/>
            <w:left w:w="0" w:type="dxa"/>
            <w:bottom w:w="0" w:type="dxa"/>
            <w:right w:w="0" w:type="dxa"/>
          </w:tblCellMar>
        </w:tblPrEx>
        <w:trPr>
          <w:trHeight w:val="450" w:hRule="atLeast"/>
        </w:trPr>
        <w:tc>
          <w:tcPr>
            <w:tcW w:w="5719" w:type="dxa"/>
            <w:gridSpan w:val="3"/>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jc w:val="center"/>
              <w:rPr>
                <w:rFonts w:ascii="宋体" w:hAnsi="宋体" w:eastAsia="宋体" w:cs="宋体"/>
                <w:sz w:val="24"/>
                <w:szCs w:val="24"/>
              </w:rPr>
            </w:pPr>
            <w:r>
              <w:rPr>
                <w:rFonts w:hint="eastAsia"/>
              </w:rPr>
              <w:t>合计</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470.58</w:t>
            </w:r>
            <w:r>
              <w:rPr>
                <w:rFonts w:hint="eastAsia"/>
              </w:rPr>
              <w:t>　</w:t>
            </w:r>
          </w:p>
        </w:tc>
        <w:tc>
          <w:tcPr>
            <w:tcW w:w="12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276.24</w:t>
            </w:r>
            <w:r>
              <w:rPr>
                <w:rFonts w:hint="eastAsia"/>
              </w:rPr>
              <w:t>　</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r>
              <w:rPr>
                <w:rFonts w:hint="eastAsia"/>
              </w:rPr>
              <w:t>　</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194.33</w:t>
            </w:r>
            <w:r>
              <w:rPr>
                <w:rFonts w:hint="eastAsia"/>
              </w:rPr>
              <w:t>　</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31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r>
      <w:tr>
        <w:tblPrEx>
          <w:tblCellMar>
            <w:top w:w="0" w:type="dxa"/>
            <w:left w:w="0" w:type="dxa"/>
            <w:bottom w:w="0" w:type="dxa"/>
            <w:right w:w="0" w:type="dxa"/>
          </w:tblCellMar>
        </w:tblPrEx>
        <w:trPr>
          <w:trHeight w:val="450" w:hRule="atLeast"/>
        </w:trPr>
        <w:tc>
          <w:tcPr>
            <w:tcW w:w="9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208</w:t>
            </w:r>
          </w:p>
        </w:tc>
        <w:tc>
          <w:tcPr>
            <w:tcW w:w="472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eastAsia="zh-CN"/>
              </w:rPr>
              <w:t>社会保障和就业支出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34.22</w:t>
            </w:r>
            <w:r>
              <w:rPr>
                <w:rFonts w:hint="eastAsia"/>
              </w:rPr>
              <w:t>　</w:t>
            </w:r>
          </w:p>
        </w:tc>
        <w:tc>
          <w:tcPr>
            <w:tcW w:w="12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34.22</w:t>
            </w:r>
            <w:r>
              <w:rPr>
                <w:rFonts w:hint="eastAsia"/>
              </w:rPr>
              <w:t>　</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31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r>
      <w:tr>
        <w:tblPrEx>
          <w:tblCellMar>
            <w:top w:w="0" w:type="dxa"/>
            <w:left w:w="0" w:type="dxa"/>
            <w:bottom w:w="0" w:type="dxa"/>
            <w:right w:w="0" w:type="dxa"/>
          </w:tblCellMar>
        </w:tblPrEx>
        <w:trPr>
          <w:trHeight w:val="384" w:hRule="atLeast"/>
        </w:trPr>
        <w:tc>
          <w:tcPr>
            <w:tcW w:w="9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20805</w:t>
            </w:r>
          </w:p>
        </w:tc>
        <w:tc>
          <w:tcPr>
            <w:tcW w:w="472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eastAsia="zh-CN"/>
              </w:rPr>
              <w:t>行政事业单位离退休</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华文中宋" w:hAnsi="华文中宋" w:eastAsia="华文中宋" w:cs="宋体"/>
                <w:sz w:val="24"/>
                <w:szCs w:val="24"/>
              </w:rPr>
            </w:pPr>
            <w:r>
              <w:rPr>
                <w:rFonts w:hint="eastAsia" w:ascii="华文中宋" w:hAnsi="华文中宋" w:eastAsia="华文中宋"/>
                <w:lang w:val="en-US" w:eastAsia="zh-CN"/>
              </w:rPr>
              <w:t>30.66</w:t>
            </w:r>
            <w:r>
              <w:rPr>
                <w:rFonts w:hint="eastAsia" w:ascii="华文中宋" w:hAnsi="华文中宋" w:eastAsia="华文中宋"/>
              </w:rPr>
              <w:t>　</w:t>
            </w:r>
          </w:p>
        </w:tc>
        <w:tc>
          <w:tcPr>
            <w:tcW w:w="12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30.66</w:t>
            </w:r>
            <w:r>
              <w:rPr>
                <w:rFonts w:hint="eastAsia"/>
              </w:rPr>
              <w:t>　</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31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r>
      <w:tr>
        <w:tblPrEx>
          <w:tblCellMar>
            <w:top w:w="0" w:type="dxa"/>
            <w:left w:w="0" w:type="dxa"/>
            <w:bottom w:w="0" w:type="dxa"/>
            <w:right w:w="0" w:type="dxa"/>
          </w:tblCellMar>
        </w:tblPrEx>
        <w:trPr>
          <w:trHeight w:val="450" w:hRule="atLeast"/>
        </w:trPr>
        <w:tc>
          <w:tcPr>
            <w:tcW w:w="9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2080505</w:t>
            </w:r>
          </w:p>
        </w:tc>
        <w:tc>
          <w:tcPr>
            <w:tcW w:w="472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eastAsia="zh-CN"/>
              </w:rPr>
              <w:t>机关事业单位基本养老保险缴费支出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30.66</w:t>
            </w:r>
            <w:r>
              <w:rPr>
                <w:rFonts w:hint="eastAsia"/>
              </w:rPr>
              <w:t>　</w:t>
            </w:r>
          </w:p>
        </w:tc>
        <w:tc>
          <w:tcPr>
            <w:tcW w:w="12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30.66</w:t>
            </w:r>
            <w:r>
              <w:rPr>
                <w:rFonts w:hint="eastAsia"/>
              </w:rPr>
              <w:t>　</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31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r>
      <w:tr>
        <w:tblPrEx>
          <w:tblCellMar>
            <w:top w:w="0" w:type="dxa"/>
            <w:left w:w="0" w:type="dxa"/>
            <w:bottom w:w="0" w:type="dxa"/>
            <w:right w:w="0" w:type="dxa"/>
          </w:tblCellMar>
        </w:tblPrEx>
        <w:trPr>
          <w:trHeight w:val="450" w:hRule="atLeast"/>
        </w:trPr>
        <w:tc>
          <w:tcPr>
            <w:tcW w:w="9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20827</w:t>
            </w:r>
          </w:p>
        </w:tc>
        <w:tc>
          <w:tcPr>
            <w:tcW w:w="472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eastAsia="zh-CN"/>
              </w:rPr>
              <w:t>财政对其他社会保险基金的补助</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2.29</w:t>
            </w:r>
            <w:r>
              <w:rPr>
                <w:rFonts w:hint="eastAsia"/>
              </w:rPr>
              <w:t>　</w:t>
            </w:r>
          </w:p>
        </w:tc>
        <w:tc>
          <w:tcPr>
            <w:tcW w:w="12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2.29</w:t>
            </w:r>
            <w:r>
              <w:rPr>
                <w:rFonts w:hint="eastAsia"/>
              </w:rPr>
              <w:t>　</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31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r>
      <w:tr>
        <w:tblPrEx>
          <w:tblCellMar>
            <w:top w:w="0" w:type="dxa"/>
            <w:left w:w="0" w:type="dxa"/>
            <w:bottom w:w="0" w:type="dxa"/>
            <w:right w:w="0" w:type="dxa"/>
          </w:tblCellMar>
        </w:tblPrEx>
        <w:trPr>
          <w:trHeight w:val="450" w:hRule="atLeast"/>
        </w:trPr>
        <w:tc>
          <w:tcPr>
            <w:tcW w:w="9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2082701</w:t>
            </w:r>
          </w:p>
        </w:tc>
        <w:tc>
          <w:tcPr>
            <w:tcW w:w="472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eastAsia="zh-CN"/>
              </w:rPr>
              <w:t>财政对失业保险基金的补助</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1.27</w:t>
            </w:r>
            <w:r>
              <w:rPr>
                <w:rFonts w:hint="eastAsia"/>
              </w:rPr>
              <w:t>　</w:t>
            </w:r>
          </w:p>
        </w:tc>
        <w:tc>
          <w:tcPr>
            <w:tcW w:w="12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1.27</w:t>
            </w:r>
            <w:r>
              <w:rPr>
                <w:rFonts w:hint="eastAsia"/>
              </w:rPr>
              <w:t>　</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31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r>
      <w:tr>
        <w:tblPrEx>
          <w:tblCellMar>
            <w:top w:w="0" w:type="dxa"/>
            <w:left w:w="0" w:type="dxa"/>
            <w:bottom w:w="0" w:type="dxa"/>
            <w:right w:w="0" w:type="dxa"/>
          </w:tblCellMar>
        </w:tblPrEx>
        <w:trPr>
          <w:trHeight w:val="450" w:hRule="atLeast"/>
        </w:trPr>
        <w:tc>
          <w:tcPr>
            <w:tcW w:w="9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val="en-US" w:eastAsia="zh-CN"/>
              </w:rPr>
              <w:t>2082702</w:t>
            </w:r>
          </w:p>
        </w:tc>
        <w:tc>
          <w:tcPr>
            <w:tcW w:w="472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rPr>
              <w:t>　</w:t>
            </w:r>
            <w:r>
              <w:rPr>
                <w:rFonts w:hint="eastAsia" w:ascii="宋体" w:hAnsi="宋体" w:eastAsia="宋体" w:cs="宋体"/>
                <w:kern w:val="0"/>
                <w:sz w:val="22"/>
                <w:lang w:eastAsia="zh-CN"/>
              </w:rPr>
              <w:t>财政对工伤保险基金的补助</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1.02</w:t>
            </w:r>
          </w:p>
        </w:tc>
        <w:tc>
          <w:tcPr>
            <w:tcW w:w="12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1.02</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31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r>
      <w:tr>
        <w:tblPrEx>
          <w:tblCellMar>
            <w:top w:w="0" w:type="dxa"/>
            <w:left w:w="0" w:type="dxa"/>
            <w:bottom w:w="0" w:type="dxa"/>
            <w:right w:w="0" w:type="dxa"/>
          </w:tblCellMar>
        </w:tblPrEx>
        <w:trPr>
          <w:trHeight w:val="450" w:hRule="atLeast"/>
        </w:trPr>
        <w:tc>
          <w:tcPr>
            <w:tcW w:w="9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20899</w:t>
            </w:r>
          </w:p>
        </w:tc>
        <w:tc>
          <w:tcPr>
            <w:tcW w:w="472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其他社会保障和就业支出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1.27</w:t>
            </w:r>
          </w:p>
        </w:tc>
        <w:tc>
          <w:tcPr>
            <w:tcW w:w="12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1.27</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31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r>
      <w:tr>
        <w:tblPrEx>
          <w:tblCellMar>
            <w:top w:w="0" w:type="dxa"/>
            <w:left w:w="0" w:type="dxa"/>
            <w:bottom w:w="0" w:type="dxa"/>
            <w:right w:w="0" w:type="dxa"/>
          </w:tblCellMar>
        </w:tblPrEx>
        <w:trPr>
          <w:trHeight w:val="450" w:hRule="atLeast"/>
        </w:trPr>
        <w:tc>
          <w:tcPr>
            <w:tcW w:w="9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2089901</w:t>
            </w:r>
          </w:p>
        </w:tc>
        <w:tc>
          <w:tcPr>
            <w:tcW w:w="472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其他社会保障和就业支出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1.27</w:t>
            </w:r>
          </w:p>
        </w:tc>
        <w:tc>
          <w:tcPr>
            <w:tcW w:w="12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1.27</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31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r>
      <w:tr>
        <w:tblPrEx>
          <w:tblCellMar>
            <w:top w:w="0" w:type="dxa"/>
            <w:left w:w="0" w:type="dxa"/>
            <w:bottom w:w="0" w:type="dxa"/>
            <w:right w:w="0" w:type="dxa"/>
          </w:tblCellMar>
        </w:tblPrEx>
        <w:trPr>
          <w:trHeight w:val="450" w:hRule="atLeast"/>
        </w:trPr>
        <w:tc>
          <w:tcPr>
            <w:tcW w:w="9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210</w:t>
            </w:r>
          </w:p>
        </w:tc>
        <w:tc>
          <w:tcPr>
            <w:tcW w:w="472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卫生健康支出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16.59</w:t>
            </w:r>
          </w:p>
        </w:tc>
        <w:tc>
          <w:tcPr>
            <w:tcW w:w="12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16.59</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31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r>
      <w:tr>
        <w:tblPrEx>
          <w:tblCellMar>
            <w:top w:w="0" w:type="dxa"/>
            <w:left w:w="0" w:type="dxa"/>
            <w:bottom w:w="0" w:type="dxa"/>
            <w:right w:w="0" w:type="dxa"/>
          </w:tblCellMar>
        </w:tblPrEx>
        <w:trPr>
          <w:trHeight w:val="450" w:hRule="atLeast"/>
        </w:trPr>
        <w:tc>
          <w:tcPr>
            <w:tcW w:w="9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21011</w:t>
            </w:r>
          </w:p>
        </w:tc>
        <w:tc>
          <w:tcPr>
            <w:tcW w:w="472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行政事业单位医疗</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16.59</w:t>
            </w:r>
          </w:p>
        </w:tc>
        <w:tc>
          <w:tcPr>
            <w:tcW w:w="12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16.59</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31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r>
      <w:tr>
        <w:tblPrEx>
          <w:tblCellMar>
            <w:top w:w="0" w:type="dxa"/>
            <w:left w:w="0" w:type="dxa"/>
            <w:bottom w:w="0" w:type="dxa"/>
            <w:right w:w="0" w:type="dxa"/>
          </w:tblCellMar>
        </w:tblPrEx>
        <w:trPr>
          <w:trHeight w:val="450" w:hRule="atLeast"/>
        </w:trPr>
        <w:tc>
          <w:tcPr>
            <w:tcW w:w="9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2101101</w:t>
            </w:r>
          </w:p>
        </w:tc>
        <w:tc>
          <w:tcPr>
            <w:tcW w:w="472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szCs w:val="22"/>
                <w:lang w:val="en-US" w:eastAsia="zh-CN" w:bidi="ar-SA"/>
              </w:rPr>
              <w:t xml:space="preserve"> 行政单位医疗</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2.28</w:t>
            </w:r>
          </w:p>
        </w:tc>
        <w:tc>
          <w:tcPr>
            <w:tcW w:w="12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2.28</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31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r>
      <w:tr>
        <w:tblPrEx>
          <w:tblCellMar>
            <w:top w:w="0" w:type="dxa"/>
            <w:left w:w="0" w:type="dxa"/>
            <w:bottom w:w="0" w:type="dxa"/>
            <w:right w:w="0" w:type="dxa"/>
          </w:tblCellMar>
        </w:tblPrEx>
        <w:trPr>
          <w:trHeight w:val="450" w:hRule="atLeast"/>
        </w:trPr>
        <w:tc>
          <w:tcPr>
            <w:tcW w:w="9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2101102</w:t>
            </w:r>
          </w:p>
        </w:tc>
        <w:tc>
          <w:tcPr>
            <w:tcW w:w="472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事业单位医疗</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14.31</w:t>
            </w:r>
          </w:p>
        </w:tc>
        <w:tc>
          <w:tcPr>
            <w:tcW w:w="12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14.31</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31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r>
      <w:tr>
        <w:tblPrEx>
          <w:tblCellMar>
            <w:top w:w="0" w:type="dxa"/>
            <w:left w:w="0" w:type="dxa"/>
            <w:bottom w:w="0" w:type="dxa"/>
            <w:right w:w="0" w:type="dxa"/>
          </w:tblCellMar>
        </w:tblPrEx>
        <w:trPr>
          <w:trHeight w:val="450" w:hRule="atLeast"/>
        </w:trPr>
        <w:tc>
          <w:tcPr>
            <w:tcW w:w="9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212</w:t>
            </w:r>
          </w:p>
        </w:tc>
        <w:tc>
          <w:tcPr>
            <w:tcW w:w="4729"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城乡社区支出</w:t>
            </w:r>
          </w:p>
        </w:tc>
        <w:tc>
          <w:tcPr>
            <w:tcW w:w="1365"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419.77</w:t>
            </w:r>
          </w:p>
        </w:tc>
        <w:tc>
          <w:tcPr>
            <w:tcW w:w="1216"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225.43</w:t>
            </w:r>
          </w:p>
        </w:tc>
        <w:tc>
          <w:tcPr>
            <w:tcW w:w="100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lang w:val="en-US"/>
              </w:rPr>
            </w:pPr>
            <w:r>
              <w:rPr>
                <w:rFonts w:hint="eastAsia"/>
                <w:lang w:val="en-US" w:eastAsia="zh-CN"/>
              </w:rPr>
              <w:t>194.33</w:t>
            </w:r>
          </w:p>
        </w:tc>
        <w:tc>
          <w:tcPr>
            <w:tcW w:w="100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3112"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r>
      <w:tr>
        <w:tblPrEx>
          <w:tblCellMar>
            <w:top w:w="0" w:type="dxa"/>
            <w:left w:w="0" w:type="dxa"/>
            <w:bottom w:w="0" w:type="dxa"/>
            <w:right w:w="0" w:type="dxa"/>
          </w:tblCellMar>
        </w:tblPrEx>
        <w:trPr>
          <w:trHeight w:val="450" w:hRule="atLeast"/>
        </w:trPr>
        <w:tc>
          <w:tcPr>
            <w:tcW w:w="9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21201</w:t>
            </w:r>
          </w:p>
        </w:tc>
        <w:tc>
          <w:tcPr>
            <w:tcW w:w="4729" w:type="dxa"/>
            <w:tcBorders>
              <w:top w:val="single" w:color="auto" w:sz="4" w:space="0"/>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eastAsia="zh-CN"/>
              </w:rPr>
              <w:t>城乡社区管理事务</w:t>
            </w:r>
          </w:p>
        </w:tc>
        <w:tc>
          <w:tcPr>
            <w:tcW w:w="1365"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206.33</w:t>
            </w:r>
          </w:p>
        </w:tc>
        <w:tc>
          <w:tcPr>
            <w:tcW w:w="1216"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12</w:t>
            </w:r>
          </w:p>
        </w:tc>
        <w:tc>
          <w:tcPr>
            <w:tcW w:w="100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lang w:val="en-US"/>
              </w:rPr>
            </w:pPr>
            <w:r>
              <w:rPr>
                <w:rFonts w:hint="eastAsia"/>
                <w:lang w:val="en-US" w:eastAsia="zh-CN"/>
              </w:rPr>
              <w:t>194.33</w:t>
            </w:r>
          </w:p>
        </w:tc>
        <w:tc>
          <w:tcPr>
            <w:tcW w:w="100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3112"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r>
      <w:tr>
        <w:tblPrEx>
          <w:tblCellMar>
            <w:top w:w="0" w:type="dxa"/>
            <w:left w:w="0" w:type="dxa"/>
            <w:bottom w:w="0" w:type="dxa"/>
            <w:right w:w="0" w:type="dxa"/>
          </w:tblCellMar>
        </w:tblPrEx>
        <w:trPr>
          <w:trHeight w:val="450" w:hRule="atLeast"/>
        </w:trPr>
        <w:tc>
          <w:tcPr>
            <w:tcW w:w="9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2120106</w:t>
            </w:r>
          </w:p>
        </w:tc>
        <w:tc>
          <w:tcPr>
            <w:tcW w:w="472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工程建设管理</w:t>
            </w:r>
          </w:p>
        </w:tc>
        <w:tc>
          <w:tcPr>
            <w:tcW w:w="1365" w:type="dxa"/>
            <w:tcBorders>
              <w:top w:val="single" w:color="auto" w:sz="4" w:space="0"/>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12</w:t>
            </w:r>
          </w:p>
        </w:tc>
        <w:tc>
          <w:tcPr>
            <w:tcW w:w="12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12</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31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r>
      <w:tr>
        <w:tblPrEx>
          <w:tblCellMar>
            <w:top w:w="0" w:type="dxa"/>
            <w:left w:w="0" w:type="dxa"/>
            <w:bottom w:w="0" w:type="dxa"/>
            <w:right w:w="0" w:type="dxa"/>
          </w:tblCellMar>
        </w:tblPrEx>
        <w:trPr>
          <w:trHeight w:val="450" w:hRule="atLeast"/>
        </w:trPr>
        <w:tc>
          <w:tcPr>
            <w:tcW w:w="9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default" w:ascii="宋体" w:hAnsi="宋体" w:eastAsia="宋体" w:cs="宋体"/>
                <w:kern w:val="0"/>
                <w:sz w:val="22"/>
                <w:lang w:val="en-US" w:eastAsia="zh-CN"/>
              </w:rPr>
            </w:pPr>
            <w:r>
              <w:rPr>
                <w:rFonts w:hint="eastAsia" w:ascii="宋体" w:hAnsi="宋体" w:eastAsia="宋体" w:cs="宋体"/>
                <w:kern w:val="0"/>
                <w:sz w:val="22"/>
                <w:lang w:val="en-US" w:eastAsia="zh-CN"/>
              </w:rPr>
              <w:t>2120199</w:t>
            </w:r>
          </w:p>
        </w:tc>
        <w:tc>
          <w:tcPr>
            <w:tcW w:w="472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lang w:val="en-US" w:eastAsia="zh-CN"/>
              </w:rPr>
            </w:pPr>
            <w:r>
              <w:rPr>
                <w:rFonts w:hint="eastAsia" w:ascii="宋体" w:hAnsi="宋体" w:eastAsia="宋体" w:cs="宋体"/>
                <w:kern w:val="0"/>
                <w:sz w:val="22"/>
                <w:lang w:val="en-US" w:eastAsia="zh-CN"/>
              </w:rPr>
              <w:t>其他城乡社区管理事务支出</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194.33</w:t>
            </w:r>
          </w:p>
        </w:tc>
        <w:tc>
          <w:tcPr>
            <w:tcW w:w="12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lang w:val="en-US"/>
              </w:rPr>
            </w:pPr>
            <w:r>
              <w:rPr>
                <w:rFonts w:hint="eastAsia"/>
                <w:lang w:val="en-US" w:eastAsia="zh-CN"/>
              </w:rPr>
              <w:t>194.33</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31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r>
      <w:tr>
        <w:tblPrEx>
          <w:tblCellMar>
            <w:top w:w="0" w:type="dxa"/>
            <w:left w:w="0" w:type="dxa"/>
            <w:bottom w:w="0" w:type="dxa"/>
            <w:right w:w="0" w:type="dxa"/>
          </w:tblCellMar>
        </w:tblPrEx>
        <w:trPr>
          <w:trHeight w:val="450" w:hRule="atLeast"/>
        </w:trPr>
        <w:tc>
          <w:tcPr>
            <w:tcW w:w="9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21206</w:t>
            </w:r>
          </w:p>
        </w:tc>
        <w:tc>
          <w:tcPr>
            <w:tcW w:w="472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建设市场管理与监督</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213.43</w:t>
            </w:r>
          </w:p>
        </w:tc>
        <w:tc>
          <w:tcPr>
            <w:tcW w:w="12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default" w:eastAsiaTheme="minorEastAsia"/>
                <w:lang w:val="en-US" w:eastAsia="zh-CN"/>
              </w:rPr>
            </w:pPr>
            <w:r>
              <w:rPr>
                <w:rFonts w:hint="eastAsia"/>
                <w:lang w:val="en-US" w:eastAsia="zh-CN"/>
              </w:rPr>
              <w:t>213.43</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c>
          <w:tcPr>
            <w:tcW w:w="31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hint="eastAsia"/>
              </w:rPr>
            </w:pPr>
            <w:r>
              <w:rPr>
                <w:rFonts w:hint="eastAsia"/>
                <w:lang w:val="en-US" w:eastAsia="zh-CN"/>
              </w:rPr>
              <w:t>0.00</w:t>
            </w:r>
          </w:p>
        </w:tc>
      </w:tr>
      <w:tr>
        <w:tblPrEx>
          <w:tblCellMar>
            <w:top w:w="0" w:type="dxa"/>
            <w:left w:w="0" w:type="dxa"/>
            <w:bottom w:w="0" w:type="dxa"/>
            <w:right w:w="0" w:type="dxa"/>
          </w:tblCellMar>
        </w:tblPrEx>
        <w:trPr>
          <w:trHeight w:val="450" w:hRule="atLeast"/>
        </w:trPr>
        <w:tc>
          <w:tcPr>
            <w:tcW w:w="990" w:type="dxa"/>
            <w:gridSpan w:val="2"/>
            <w:tcBorders>
              <w:top w:val="single" w:color="auto" w:sz="4" w:space="0"/>
              <w:left w:val="single" w:color="auto" w:sz="4" w:space="0"/>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default" w:ascii="宋体" w:hAnsi="宋体" w:eastAsia="宋体" w:cs="宋体"/>
                <w:kern w:val="0"/>
                <w:sz w:val="22"/>
                <w:szCs w:val="22"/>
                <w:lang w:val="en-US" w:eastAsia="zh-CN" w:bidi="ar-SA"/>
              </w:rPr>
            </w:pPr>
            <w:r>
              <w:rPr>
                <w:rFonts w:hint="eastAsia" w:ascii="宋体" w:hAnsi="宋体" w:eastAsia="宋体" w:cs="宋体"/>
                <w:kern w:val="0"/>
                <w:sz w:val="22"/>
                <w:lang w:val="en-US" w:eastAsia="zh-CN"/>
              </w:rPr>
              <w:t>2120601</w:t>
            </w:r>
          </w:p>
        </w:tc>
        <w:tc>
          <w:tcPr>
            <w:tcW w:w="4729" w:type="dxa"/>
            <w:tcBorders>
              <w:top w:val="nil"/>
              <w:left w:val="nil"/>
              <w:bottom w:val="single" w:color="auto" w:sz="4" w:space="0"/>
              <w:right w:val="single" w:color="auto" w:sz="4" w:space="0"/>
            </w:tcBorders>
            <w:shd w:val="clear" w:color="000000" w:fill="FFFFFF"/>
            <w:noWrap/>
            <w:tcMar>
              <w:top w:w="15" w:type="dxa"/>
              <w:left w:w="15" w:type="dxa"/>
              <w:bottom w:w="0" w:type="dxa"/>
              <w:right w:w="15" w:type="dxa"/>
            </w:tcMar>
            <w:vAlign w:val="center"/>
          </w:tcPr>
          <w:p>
            <w:pPr>
              <w:widowControl/>
              <w:jc w:val="left"/>
              <w:rPr>
                <w:rFonts w:hint="eastAsia" w:ascii="宋体" w:hAnsi="宋体" w:eastAsia="宋体" w:cs="宋体"/>
                <w:kern w:val="0"/>
                <w:sz w:val="22"/>
                <w:szCs w:val="22"/>
                <w:lang w:val="en-US" w:eastAsia="zh-CN" w:bidi="ar-SA"/>
              </w:rPr>
            </w:pPr>
            <w:r>
              <w:rPr>
                <w:rFonts w:hint="eastAsia" w:ascii="宋体" w:hAnsi="宋体" w:eastAsia="宋体" w:cs="宋体"/>
                <w:kern w:val="0"/>
                <w:sz w:val="22"/>
                <w:lang w:val="en-US" w:eastAsia="zh-CN"/>
              </w:rPr>
              <w:t>建设市场管理与监督</w:t>
            </w:r>
          </w:p>
        </w:tc>
        <w:tc>
          <w:tcPr>
            <w:tcW w:w="1365"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213.43</w:t>
            </w:r>
            <w:r>
              <w:rPr>
                <w:rFonts w:hint="eastAsia"/>
              </w:rPr>
              <w:t>　</w:t>
            </w:r>
          </w:p>
        </w:tc>
        <w:tc>
          <w:tcPr>
            <w:tcW w:w="1216"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213.43</w:t>
            </w:r>
            <w:r>
              <w:rPr>
                <w:rFonts w:hint="eastAsia"/>
              </w:rPr>
              <w:t>　</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1004"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c>
          <w:tcPr>
            <w:tcW w:w="3112" w:type="dxa"/>
            <w:tcBorders>
              <w:top w:val="nil"/>
              <w:left w:val="nil"/>
              <w:bottom w:val="single" w:color="auto" w:sz="4" w:space="0"/>
              <w:right w:val="single" w:color="auto" w:sz="4" w:space="0"/>
            </w:tcBorders>
            <w:shd w:val="clear" w:color="auto" w:fill="auto"/>
            <w:noWrap/>
            <w:tcMar>
              <w:top w:w="15" w:type="dxa"/>
              <w:left w:w="15" w:type="dxa"/>
              <w:bottom w:w="0" w:type="dxa"/>
              <w:right w:w="15" w:type="dxa"/>
            </w:tcMar>
            <w:vAlign w:val="center"/>
          </w:tcPr>
          <w:p>
            <w:pPr>
              <w:jc w:val="right"/>
              <w:rPr>
                <w:rFonts w:ascii="宋体" w:hAnsi="宋体" w:eastAsia="宋体" w:cs="宋体"/>
                <w:sz w:val="24"/>
                <w:szCs w:val="24"/>
              </w:rPr>
            </w:pPr>
            <w:r>
              <w:rPr>
                <w:rFonts w:hint="eastAsia"/>
                <w:lang w:val="en-US" w:eastAsia="zh-CN"/>
              </w:rPr>
              <w:t>0.00</w:t>
            </w:r>
          </w:p>
        </w:tc>
      </w:tr>
      <w:tr>
        <w:tblPrEx>
          <w:tblCellMar>
            <w:top w:w="0" w:type="dxa"/>
            <w:left w:w="0" w:type="dxa"/>
            <w:bottom w:w="0" w:type="dxa"/>
            <w:right w:w="0" w:type="dxa"/>
          </w:tblCellMar>
        </w:tblPrEx>
        <w:trPr>
          <w:trHeight w:val="615" w:hRule="atLeast"/>
        </w:trPr>
        <w:tc>
          <w:tcPr>
            <w:tcW w:w="15428" w:type="dxa"/>
            <w:gridSpan w:val="10"/>
            <w:tcBorders>
              <w:top w:val="nil"/>
              <w:left w:val="nil"/>
              <w:bottom w:val="nil"/>
              <w:right w:val="nil"/>
            </w:tcBorders>
            <w:shd w:val="clear" w:color="auto" w:fill="auto"/>
            <w:tcMar>
              <w:top w:w="15" w:type="dxa"/>
              <w:left w:w="15" w:type="dxa"/>
              <w:bottom w:w="0" w:type="dxa"/>
              <w:right w:w="15" w:type="dxa"/>
            </w:tcMar>
            <w:vAlign w:val="center"/>
          </w:tcPr>
          <w:p>
            <w:pPr>
              <w:rPr>
                <w:rFonts w:ascii="宋体" w:hAnsi="宋体" w:eastAsia="宋体" w:cs="宋体"/>
                <w:sz w:val="24"/>
                <w:szCs w:val="24"/>
              </w:rPr>
            </w:pPr>
            <w:r>
              <w:rPr>
                <w:rFonts w:hint="eastAsia"/>
              </w:rPr>
              <w:t>注：本表反映部门本年度取得的各项收入情况。</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6"/>
        <w:tblW w:w="14629" w:type="dxa"/>
        <w:tblInd w:w="93" w:type="dxa"/>
        <w:tblLayout w:type="fixed"/>
        <w:tblCellMar>
          <w:top w:w="0" w:type="dxa"/>
          <w:left w:w="108" w:type="dxa"/>
          <w:bottom w:w="0" w:type="dxa"/>
          <w:right w:w="108" w:type="dxa"/>
        </w:tblCellMar>
      </w:tblPr>
      <w:tblGrid>
        <w:gridCol w:w="427"/>
        <w:gridCol w:w="417"/>
        <w:gridCol w:w="198"/>
        <w:gridCol w:w="222"/>
        <w:gridCol w:w="15"/>
        <w:gridCol w:w="2655"/>
        <w:gridCol w:w="1590"/>
        <w:gridCol w:w="1500"/>
        <w:gridCol w:w="1470"/>
        <w:gridCol w:w="1875"/>
        <w:gridCol w:w="1680"/>
        <w:gridCol w:w="2580"/>
      </w:tblGrid>
      <w:tr>
        <w:tblPrEx>
          <w:tblCellMar>
            <w:top w:w="0" w:type="dxa"/>
            <w:left w:w="108" w:type="dxa"/>
            <w:bottom w:w="0" w:type="dxa"/>
            <w:right w:w="108" w:type="dxa"/>
          </w:tblCellMar>
        </w:tblPrEx>
        <w:trPr>
          <w:trHeight w:val="435" w:hRule="atLeast"/>
        </w:trPr>
        <w:tc>
          <w:tcPr>
            <w:tcW w:w="14629" w:type="dxa"/>
            <w:gridSpan w:val="12"/>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r>
              <w:rPr>
                <w:rFonts w:hint="eastAsia" w:ascii="华文中宋" w:hAnsi="华文中宋" w:eastAsia="华文中宋" w:cs="宋体"/>
                <w:color w:val="000000"/>
                <w:kern w:val="0"/>
                <w:sz w:val="32"/>
                <w:szCs w:val="32"/>
              </w:rPr>
              <w:t>支出决算表</w:t>
            </w:r>
          </w:p>
        </w:tc>
      </w:tr>
      <w:tr>
        <w:tblPrEx>
          <w:tblCellMar>
            <w:top w:w="0" w:type="dxa"/>
            <w:left w:w="108" w:type="dxa"/>
            <w:bottom w:w="0" w:type="dxa"/>
            <w:right w:w="108" w:type="dxa"/>
          </w:tblCellMar>
        </w:tblPrEx>
        <w:trPr>
          <w:trHeight w:val="285" w:hRule="atLeast"/>
        </w:trPr>
        <w:tc>
          <w:tcPr>
            <w:tcW w:w="1042" w:type="dxa"/>
            <w:gridSpan w:val="3"/>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7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9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7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87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8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58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公开03表</w:t>
            </w:r>
          </w:p>
        </w:tc>
      </w:tr>
      <w:tr>
        <w:tblPrEx>
          <w:tblCellMar>
            <w:top w:w="0" w:type="dxa"/>
            <w:left w:w="108" w:type="dxa"/>
            <w:bottom w:w="0" w:type="dxa"/>
            <w:right w:w="108" w:type="dxa"/>
          </w:tblCellMar>
        </w:tblPrEx>
        <w:trPr>
          <w:trHeight w:val="285" w:hRule="atLeast"/>
        </w:trPr>
        <w:tc>
          <w:tcPr>
            <w:tcW w:w="1042" w:type="dxa"/>
            <w:gridSpan w:val="3"/>
            <w:tcBorders>
              <w:top w:val="nil"/>
              <w:left w:val="nil"/>
              <w:bottom w:val="nil"/>
              <w:right w:val="nil"/>
            </w:tcBorders>
            <w:shd w:val="clear" w:color="000000" w:fill="FFFFFF"/>
            <w:noWrap/>
            <w:vAlign w:val="center"/>
          </w:tcPr>
          <w:p>
            <w:pPr>
              <w:widowControl/>
              <w:ind w:left="200" w:hanging="200" w:hangingChars="100"/>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w:t>
            </w:r>
            <w:r>
              <w:rPr>
                <w:rFonts w:hint="eastAsia" w:ascii="宋体" w:hAnsi="宋体" w:eastAsia="宋体" w:cs="宋体"/>
                <w:color w:val="000000"/>
                <w:kern w:val="0"/>
                <w:sz w:val="20"/>
                <w:szCs w:val="20"/>
                <w:lang w:val="en-US" w:eastAsia="zh-CN"/>
              </w:rPr>
              <w:t xml:space="preserve">  </w:t>
            </w:r>
          </w:p>
        </w:tc>
        <w:tc>
          <w:tcPr>
            <w:tcW w:w="222"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670" w:type="dxa"/>
            <w:gridSpan w:val="2"/>
            <w:tcBorders>
              <w:top w:val="nil"/>
              <w:left w:val="nil"/>
              <w:bottom w:val="nil"/>
              <w:right w:val="nil"/>
            </w:tcBorders>
            <w:shd w:val="clear" w:color="000000" w:fill="FFFFFF"/>
            <w:noWrap/>
            <w:vAlign w:val="center"/>
          </w:tcPr>
          <w:p>
            <w:pPr>
              <w:widowControl/>
              <w:jc w:val="both"/>
              <w:rPr>
                <w:rFonts w:ascii="宋体" w:hAnsi="宋体" w:eastAsia="宋体" w:cs="宋体"/>
                <w:kern w:val="0"/>
                <w:sz w:val="24"/>
                <w:szCs w:val="24"/>
              </w:rPr>
            </w:pPr>
            <w:r>
              <w:rPr>
                <w:rFonts w:hint="eastAsia" w:ascii="宋体" w:hAnsi="宋体" w:eastAsia="宋体" w:cs="宋体"/>
                <w:kern w:val="0"/>
                <w:sz w:val="24"/>
                <w:szCs w:val="24"/>
                <w:lang w:eastAsia="zh-CN"/>
              </w:rPr>
              <w:t>湘乡市建设工程质量安全监督站</w:t>
            </w:r>
            <w:r>
              <w:rPr>
                <w:rFonts w:hint="eastAsia" w:ascii="宋体" w:hAnsi="宋体" w:eastAsia="宋体" w:cs="宋体"/>
                <w:kern w:val="0"/>
                <w:sz w:val="24"/>
                <w:szCs w:val="24"/>
              </w:rPr>
              <w:t>　</w:t>
            </w:r>
          </w:p>
        </w:tc>
        <w:tc>
          <w:tcPr>
            <w:tcW w:w="159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0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470" w:type="dxa"/>
            <w:tcBorders>
              <w:top w:val="nil"/>
              <w:left w:val="nil"/>
              <w:bottom w:val="nil"/>
              <w:right w:val="nil"/>
            </w:tcBorders>
            <w:shd w:val="clear" w:color="000000" w:fill="FFFFFF"/>
            <w:noWrap/>
            <w:vAlign w:val="center"/>
          </w:tcPr>
          <w:p>
            <w:pPr>
              <w:widowControl/>
              <w:jc w:val="center"/>
              <w:rPr>
                <w:rFonts w:ascii="宋体" w:hAnsi="宋体" w:eastAsia="宋体" w:cs="宋体"/>
                <w:color w:val="000000"/>
                <w:kern w:val="0"/>
                <w:sz w:val="20"/>
                <w:szCs w:val="20"/>
              </w:rPr>
            </w:pPr>
            <w:r>
              <w:rPr>
                <w:rFonts w:hint="eastAsia" w:ascii="宋体" w:hAnsi="宋体" w:eastAsia="宋体" w:cs="宋体"/>
                <w:color w:val="000000"/>
                <w:kern w:val="0"/>
                <w:sz w:val="20"/>
                <w:szCs w:val="20"/>
              </w:rPr>
              <w:t>　</w:t>
            </w:r>
          </w:p>
        </w:tc>
        <w:tc>
          <w:tcPr>
            <w:tcW w:w="187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680"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2580"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50" w:hRule="atLeast"/>
        </w:trPr>
        <w:tc>
          <w:tcPr>
            <w:tcW w:w="3934" w:type="dxa"/>
            <w:gridSpan w:val="6"/>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59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本年支出合计</w:t>
            </w:r>
          </w:p>
        </w:tc>
        <w:tc>
          <w:tcPr>
            <w:tcW w:w="150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基本支出</w:t>
            </w:r>
          </w:p>
        </w:tc>
        <w:tc>
          <w:tcPr>
            <w:tcW w:w="147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c>
          <w:tcPr>
            <w:tcW w:w="1875"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上缴上级支出</w:t>
            </w:r>
          </w:p>
        </w:tc>
        <w:tc>
          <w:tcPr>
            <w:tcW w:w="168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经营支出</w:t>
            </w:r>
          </w:p>
        </w:tc>
        <w:tc>
          <w:tcPr>
            <w:tcW w:w="2580" w:type="dxa"/>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对附属单位补助支出</w:t>
            </w:r>
          </w:p>
        </w:tc>
      </w:tr>
      <w:tr>
        <w:tblPrEx>
          <w:tblCellMar>
            <w:top w:w="0" w:type="dxa"/>
            <w:left w:w="108" w:type="dxa"/>
            <w:bottom w:w="0" w:type="dxa"/>
            <w:right w:w="108" w:type="dxa"/>
          </w:tblCellMar>
        </w:tblPrEx>
        <w:trPr>
          <w:trHeight w:val="450" w:hRule="atLeast"/>
        </w:trPr>
        <w:tc>
          <w:tcPr>
            <w:tcW w:w="1264" w:type="dxa"/>
            <w:gridSpan w:val="4"/>
            <w:vMerge w:val="restart"/>
            <w:tcBorders>
              <w:top w:val="single" w:color="auto" w:sz="4" w:space="0"/>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670" w:type="dxa"/>
            <w:gridSpan w:val="2"/>
            <w:vMerge w:val="restart"/>
            <w:tcBorders>
              <w:top w:val="nil"/>
              <w:left w:val="single" w:color="auto" w:sz="4" w:space="0"/>
              <w:bottom w:val="single" w:color="auto" w:sz="4" w:space="0"/>
              <w:right w:val="single" w:color="auto" w:sz="4" w:space="0"/>
            </w:tcBorders>
            <w:shd w:val="clear" w:color="000000" w:fill="FFFFFF"/>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15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1264" w:type="dxa"/>
            <w:gridSpan w:val="4"/>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670"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5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47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8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16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8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50" w:hRule="atLeast"/>
        </w:trPr>
        <w:tc>
          <w:tcPr>
            <w:tcW w:w="3934" w:type="dxa"/>
            <w:gridSpan w:val="6"/>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159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150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47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875"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68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c>
          <w:tcPr>
            <w:tcW w:w="2580"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6</w:t>
            </w:r>
          </w:p>
        </w:tc>
      </w:tr>
      <w:tr>
        <w:tblPrEx>
          <w:tblCellMar>
            <w:top w:w="0" w:type="dxa"/>
            <w:left w:w="108" w:type="dxa"/>
            <w:bottom w:w="0" w:type="dxa"/>
            <w:right w:w="108" w:type="dxa"/>
          </w:tblCellMar>
        </w:tblPrEx>
        <w:trPr>
          <w:trHeight w:val="450" w:hRule="atLeast"/>
        </w:trPr>
        <w:tc>
          <w:tcPr>
            <w:tcW w:w="42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类</w:t>
            </w:r>
          </w:p>
        </w:tc>
        <w:tc>
          <w:tcPr>
            <w:tcW w:w="417"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款</w:t>
            </w:r>
          </w:p>
        </w:tc>
        <w:tc>
          <w:tcPr>
            <w:tcW w:w="435"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项</w:t>
            </w:r>
          </w:p>
        </w:tc>
        <w:tc>
          <w:tcPr>
            <w:tcW w:w="2655" w:type="dxa"/>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hint="eastAsia" w:ascii="宋体" w:hAnsi="宋体" w:eastAsia="宋体" w:cs="宋体"/>
                <w:kern w:val="0"/>
                <w:sz w:val="24"/>
                <w:szCs w:val="24"/>
                <w:lang w:val="en-US" w:eastAsia="zh-CN"/>
              </w:rPr>
            </w:pPr>
            <w:r>
              <w:rPr>
                <w:rFonts w:hint="eastAsia" w:ascii="宋体" w:hAnsi="宋体" w:eastAsia="宋体" w:cs="宋体"/>
                <w:kern w:val="0"/>
                <w:sz w:val="24"/>
                <w:szCs w:val="24"/>
                <w:lang w:val="en-US" w:eastAsia="zh-CN"/>
              </w:rPr>
              <w:t>合计</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i w:val="0"/>
                <w:color w:val="000000"/>
                <w:kern w:val="0"/>
                <w:sz w:val="22"/>
                <w:szCs w:val="22"/>
                <w:u w:val="none"/>
                <w:lang w:val="en-US" w:eastAsia="zh-CN" w:bidi="ar"/>
              </w:rPr>
              <w:t>410.93</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i w:val="0"/>
                <w:color w:val="000000"/>
                <w:kern w:val="0"/>
                <w:sz w:val="22"/>
                <w:szCs w:val="22"/>
                <w:u w:val="none"/>
                <w:lang w:val="en-US" w:eastAsia="zh-CN" w:bidi="ar"/>
              </w:rPr>
              <w:t>410.93</w:t>
            </w:r>
          </w:p>
        </w:tc>
        <w:tc>
          <w:tcPr>
            <w:tcW w:w="14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i w:val="0"/>
                <w:color w:val="000000"/>
                <w:kern w:val="0"/>
                <w:sz w:val="22"/>
                <w:szCs w:val="22"/>
                <w:u w:val="none"/>
                <w:lang w:val="en-US" w:eastAsia="zh-CN" w:bidi="ar"/>
              </w:rPr>
              <w:t>0.00</w:t>
            </w:r>
          </w:p>
        </w:tc>
        <w:tc>
          <w:tcPr>
            <w:tcW w:w="18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i w:val="0"/>
                <w:color w:val="000000"/>
                <w:kern w:val="0"/>
                <w:sz w:val="22"/>
                <w:szCs w:val="22"/>
                <w:u w:val="none"/>
                <w:lang w:val="en-US" w:eastAsia="zh-CN" w:bidi="ar"/>
              </w:rPr>
              <w:t>0.00</w:t>
            </w:r>
          </w:p>
        </w:tc>
        <w:tc>
          <w:tcPr>
            <w:tcW w:w="16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i w:val="0"/>
                <w:color w:val="000000"/>
                <w:kern w:val="0"/>
                <w:sz w:val="22"/>
                <w:szCs w:val="22"/>
                <w:u w:val="none"/>
                <w:lang w:val="en-US" w:eastAsia="zh-CN" w:bidi="ar"/>
              </w:rPr>
              <w:t>0.00</w:t>
            </w:r>
          </w:p>
        </w:tc>
        <w:tc>
          <w:tcPr>
            <w:tcW w:w="25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b/>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w:t>
            </w:r>
          </w:p>
        </w:tc>
        <w:tc>
          <w:tcPr>
            <w:tcW w:w="267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社会保障和就业支出</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34.22</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34.22</w:t>
            </w:r>
          </w:p>
        </w:tc>
        <w:tc>
          <w:tcPr>
            <w:tcW w:w="14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8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6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5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20805</w:t>
            </w:r>
          </w:p>
        </w:tc>
        <w:tc>
          <w:tcPr>
            <w:tcW w:w="267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行政事业单位养老支出</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30.66</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30.66</w:t>
            </w:r>
          </w:p>
        </w:tc>
        <w:tc>
          <w:tcPr>
            <w:tcW w:w="14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8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6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5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2080505</w:t>
            </w:r>
          </w:p>
        </w:tc>
        <w:tc>
          <w:tcPr>
            <w:tcW w:w="267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30.66</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30.66</w:t>
            </w:r>
          </w:p>
        </w:tc>
        <w:tc>
          <w:tcPr>
            <w:tcW w:w="14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8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6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5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20827</w:t>
            </w:r>
          </w:p>
        </w:tc>
        <w:tc>
          <w:tcPr>
            <w:tcW w:w="267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财政对其他社会保险基金的补助</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2.29</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2.29</w:t>
            </w:r>
          </w:p>
        </w:tc>
        <w:tc>
          <w:tcPr>
            <w:tcW w:w="14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8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6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5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2082701</w:t>
            </w:r>
          </w:p>
        </w:tc>
        <w:tc>
          <w:tcPr>
            <w:tcW w:w="267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财政对失业保险基金的补助</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1.27</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1.27</w:t>
            </w:r>
          </w:p>
        </w:tc>
        <w:tc>
          <w:tcPr>
            <w:tcW w:w="14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8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6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5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2082702</w:t>
            </w:r>
          </w:p>
        </w:tc>
        <w:tc>
          <w:tcPr>
            <w:tcW w:w="267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财政对工伤保险基金的补助</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1.02</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1.02</w:t>
            </w:r>
          </w:p>
        </w:tc>
        <w:tc>
          <w:tcPr>
            <w:tcW w:w="14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8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6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5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20899</w:t>
            </w:r>
          </w:p>
        </w:tc>
        <w:tc>
          <w:tcPr>
            <w:tcW w:w="267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其他社会保障和就业支出</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1.27</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1.27</w:t>
            </w:r>
          </w:p>
        </w:tc>
        <w:tc>
          <w:tcPr>
            <w:tcW w:w="14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8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6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5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2089901</w:t>
            </w:r>
          </w:p>
        </w:tc>
        <w:tc>
          <w:tcPr>
            <w:tcW w:w="267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其他社会保障和就业支出</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1.27</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1.27</w:t>
            </w:r>
          </w:p>
        </w:tc>
        <w:tc>
          <w:tcPr>
            <w:tcW w:w="14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8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6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5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210</w:t>
            </w:r>
          </w:p>
        </w:tc>
        <w:tc>
          <w:tcPr>
            <w:tcW w:w="267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卫生健康支出</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16.59</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16.59</w:t>
            </w:r>
          </w:p>
        </w:tc>
        <w:tc>
          <w:tcPr>
            <w:tcW w:w="14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8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6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5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21011</w:t>
            </w:r>
          </w:p>
        </w:tc>
        <w:tc>
          <w:tcPr>
            <w:tcW w:w="267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行政事业单位医疗</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16.59</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16.59</w:t>
            </w:r>
          </w:p>
        </w:tc>
        <w:tc>
          <w:tcPr>
            <w:tcW w:w="14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8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6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5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2101101</w:t>
            </w:r>
          </w:p>
        </w:tc>
        <w:tc>
          <w:tcPr>
            <w:tcW w:w="267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行政单位医疗</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2.28</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2.28</w:t>
            </w:r>
          </w:p>
        </w:tc>
        <w:tc>
          <w:tcPr>
            <w:tcW w:w="14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8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6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5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2101102</w:t>
            </w:r>
          </w:p>
        </w:tc>
        <w:tc>
          <w:tcPr>
            <w:tcW w:w="2670" w:type="dxa"/>
            <w:gridSpan w:val="2"/>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事业单位医疗</w:t>
            </w:r>
          </w:p>
        </w:tc>
        <w:tc>
          <w:tcPr>
            <w:tcW w:w="159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14.31</w:t>
            </w:r>
          </w:p>
        </w:tc>
        <w:tc>
          <w:tcPr>
            <w:tcW w:w="150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14.31</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87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68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58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w:t>
            </w:r>
          </w:p>
        </w:tc>
        <w:tc>
          <w:tcPr>
            <w:tcW w:w="267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城乡社区支出</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360.12</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360.12</w:t>
            </w:r>
          </w:p>
        </w:tc>
        <w:tc>
          <w:tcPr>
            <w:tcW w:w="14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8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6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5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21201</w:t>
            </w:r>
          </w:p>
        </w:tc>
        <w:tc>
          <w:tcPr>
            <w:tcW w:w="2670" w:type="dxa"/>
            <w:gridSpan w:val="2"/>
            <w:tcBorders>
              <w:top w:val="single" w:color="auto" w:sz="4" w:space="0"/>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城乡社区管理事务</w:t>
            </w:r>
          </w:p>
        </w:tc>
        <w:tc>
          <w:tcPr>
            <w:tcW w:w="159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161.08</w:t>
            </w:r>
          </w:p>
        </w:tc>
        <w:tc>
          <w:tcPr>
            <w:tcW w:w="150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161.08</w:t>
            </w:r>
          </w:p>
        </w:tc>
        <w:tc>
          <w:tcPr>
            <w:tcW w:w="147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875"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68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580" w:type="dxa"/>
            <w:tcBorders>
              <w:top w:val="single" w:color="auto" w:sz="4" w:space="0"/>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2120106</w:t>
            </w:r>
          </w:p>
        </w:tc>
        <w:tc>
          <w:tcPr>
            <w:tcW w:w="267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工程建设管理</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12.00</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12.00</w:t>
            </w:r>
          </w:p>
        </w:tc>
        <w:tc>
          <w:tcPr>
            <w:tcW w:w="14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8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6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5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2120199</w:t>
            </w:r>
          </w:p>
        </w:tc>
        <w:tc>
          <w:tcPr>
            <w:tcW w:w="267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其他城乡社区管理事务支出</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149.08</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149.08</w:t>
            </w:r>
          </w:p>
        </w:tc>
        <w:tc>
          <w:tcPr>
            <w:tcW w:w="14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8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6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5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21206</w:t>
            </w:r>
          </w:p>
        </w:tc>
        <w:tc>
          <w:tcPr>
            <w:tcW w:w="267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建设市场管理与监督</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199.05</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199.05</w:t>
            </w:r>
          </w:p>
        </w:tc>
        <w:tc>
          <w:tcPr>
            <w:tcW w:w="14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8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6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5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trPr>
        <w:tc>
          <w:tcPr>
            <w:tcW w:w="1264" w:type="dxa"/>
            <w:gridSpan w:val="4"/>
            <w:tcBorders>
              <w:top w:val="single" w:color="auto" w:sz="4" w:space="0"/>
              <w:left w:val="single" w:color="auto" w:sz="4" w:space="0"/>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2120601</w:t>
            </w:r>
          </w:p>
        </w:tc>
        <w:tc>
          <w:tcPr>
            <w:tcW w:w="2670" w:type="dxa"/>
            <w:gridSpan w:val="2"/>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lef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 xml:space="preserve">  建设市场管理与监督</w:t>
            </w:r>
          </w:p>
        </w:tc>
        <w:tc>
          <w:tcPr>
            <w:tcW w:w="15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199.05</w:t>
            </w:r>
          </w:p>
        </w:tc>
        <w:tc>
          <w:tcPr>
            <w:tcW w:w="150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199.05</w:t>
            </w:r>
          </w:p>
        </w:tc>
        <w:tc>
          <w:tcPr>
            <w:tcW w:w="147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875"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16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c>
          <w:tcPr>
            <w:tcW w:w="258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kern w:val="0"/>
                <w:sz w:val="24"/>
                <w:szCs w:val="24"/>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630" w:hRule="atLeast"/>
        </w:trPr>
        <w:tc>
          <w:tcPr>
            <w:tcW w:w="14629" w:type="dxa"/>
            <w:gridSpan w:val="12"/>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注：本表反映部门本年度各项支出情况。</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rPr>
          <w:rFonts w:ascii="Times New Roman" w:hAnsi="Times New Roman" w:eastAsia="方正小标宋_GBK" w:cs="Times New Roman"/>
          <w:color w:val="000000"/>
          <w:kern w:val="0"/>
          <w:sz w:val="36"/>
          <w:szCs w:val="21"/>
        </w:rPr>
      </w:pPr>
      <w:r>
        <w:rPr>
          <w:rFonts w:ascii="Times New Roman" w:hAnsi="Times New Roman" w:eastAsia="方正小标宋_GBK" w:cs="Times New Roman"/>
          <w:color w:val="000000"/>
          <w:kern w:val="0"/>
          <w:sz w:val="36"/>
          <w:szCs w:val="21"/>
        </w:rPr>
        <w:br w:type="page"/>
      </w:r>
    </w:p>
    <w:p>
      <w:pPr>
        <w:pStyle w:val="2"/>
      </w:pPr>
    </w:p>
    <w:tbl>
      <w:tblPr>
        <w:tblStyle w:val="6"/>
        <w:tblW w:w="15521" w:type="dxa"/>
        <w:tblInd w:w="93" w:type="dxa"/>
        <w:tblLayout w:type="autofit"/>
        <w:tblCellMar>
          <w:top w:w="0" w:type="dxa"/>
          <w:left w:w="108" w:type="dxa"/>
          <w:bottom w:w="0" w:type="dxa"/>
          <w:right w:w="108" w:type="dxa"/>
        </w:tblCellMar>
      </w:tblPr>
      <w:tblGrid>
        <w:gridCol w:w="3595"/>
        <w:gridCol w:w="436"/>
        <w:gridCol w:w="1078"/>
        <w:gridCol w:w="3411"/>
        <w:gridCol w:w="632"/>
        <w:gridCol w:w="435"/>
        <w:gridCol w:w="1573"/>
        <w:gridCol w:w="1394"/>
        <w:gridCol w:w="1394"/>
        <w:gridCol w:w="1573"/>
      </w:tblGrid>
      <w:tr>
        <w:tblPrEx>
          <w:tblCellMar>
            <w:top w:w="0" w:type="dxa"/>
            <w:left w:w="108" w:type="dxa"/>
            <w:bottom w:w="0" w:type="dxa"/>
            <w:right w:w="108" w:type="dxa"/>
          </w:tblCellMar>
        </w:tblPrEx>
        <w:trPr>
          <w:trHeight w:val="360" w:hRule="atLeast"/>
        </w:trPr>
        <w:tc>
          <w:tcPr>
            <w:tcW w:w="15521" w:type="dxa"/>
            <w:gridSpan w:val="10"/>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 w:val="32"/>
                <w:szCs w:val="32"/>
              </w:rPr>
            </w:pPr>
            <w:bookmarkStart w:id="0" w:name="RANGE!A1:I22"/>
            <w:bookmarkEnd w:id="0"/>
            <w:bookmarkStart w:id="1" w:name="RANGE!A1:F16"/>
            <w:r>
              <w:rPr>
                <w:rFonts w:hint="eastAsia" w:ascii="华文中宋" w:hAnsi="华文中宋" w:eastAsia="华文中宋" w:cs="宋体"/>
                <w:color w:val="000000"/>
                <w:kern w:val="0"/>
                <w:sz w:val="32"/>
                <w:szCs w:val="32"/>
              </w:rPr>
              <w:t>财政拨款收入支出决算总表</w:t>
            </w:r>
          </w:p>
        </w:tc>
      </w:tr>
      <w:tr>
        <w:tblPrEx>
          <w:tblCellMar>
            <w:top w:w="0" w:type="dxa"/>
            <w:left w:w="108" w:type="dxa"/>
            <w:bottom w:w="0" w:type="dxa"/>
            <w:right w:w="108" w:type="dxa"/>
          </w:tblCellMar>
        </w:tblPrEx>
        <w:trPr>
          <w:trHeight w:val="199" w:hRule="atLeast"/>
        </w:trPr>
        <w:tc>
          <w:tcPr>
            <w:tcW w:w="359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公开04表</w:t>
            </w:r>
          </w:p>
        </w:tc>
      </w:tr>
      <w:tr>
        <w:tblPrEx>
          <w:tblCellMar>
            <w:top w:w="0" w:type="dxa"/>
            <w:left w:w="108" w:type="dxa"/>
            <w:bottom w:w="0" w:type="dxa"/>
            <w:right w:w="108" w:type="dxa"/>
          </w:tblCellMar>
        </w:tblPrEx>
        <w:trPr>
          <w:trHeight w:val="300" w:hRule="atLeast"/>
        </w:trPr>
        <w:tc>
          <w:tcPr>
            <w:tcW w:w="3595"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r>
              <w:rPr>
                <w:rFonts w:hint="eastAsia" w:ascii="Times New Roman" w:hAnsi="Times New Roman" w:eastAsia="仿宋_GB2312" w:cs="Times New Roman"/>
                <w:color w:val="auto"/>
                <w:kern w:val="0"/>
                <w:szCs w:val="21"/>
                <w:lang w:eastAsia="zh-CN"/>
              </w:rPr>
              <w:t>湘乡市建设工程质量安全监督站</w:t>
            </w:r>
            <w:r>
              <w:rPr>
                <w:rFonts w:hint="eastAsia"/>
              </w:rPr>
              <w:t>　</w:t>
            </w:r>
          </w:p>
        </w:tc>
        <w:tc>
          <w:tcPr>
            <w:tcW w:w="436"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043"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435"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394" w:type="dxa"/>
            <w:tcBorders>
              <w:top w:val="nil"/>
              <w:left w:val="nil"/>
              <w:bottom w:val="nil"/>
              <w:right w:val="nil"/>
            </w:tcBorders>
            <w:shd w:val="clear" w:color="000000" w:fill="FFFFFF"/>
            <w:noWrap/>
            <w:vAlign w:val="center"/>
          </w:tcPr>
          <w:p>
            <w:pPr>
              <w:widowControl/>
              <w:jc w:val="right"/>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5109" w:type="dxa"/>
            <w:gridSpan w:val="3"/>
            <w:tcBorders>
              <w:top w:val="single" w:color="auto" w:sz="4" w:space="0"/>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收入</w:t>
            </w:r>
          </w:p>
        </w:tc>
        <w:tc>
          <w:tcPr>
            <w:tcW w:w="10412" w:type="dxa"/>
            <w:gridSpan w:val="7"/>
            <w:tcBorders>
              <w:top w:val="single" w:color="auto" w:sz="4" w:space="0"/>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支出</w:t>
            </w:r>
          </w:p>
        </w:tc>
      </w:tr>
      <w:tr>
        <w:tblPrEx>
          <w:tblCellMar>
            <w:top w:w="0" w:type="dxa"/>
            <w:left w:w="108" w:type="dxa"/>
            <w:bottom w:w="0" w:type="dxa"/>
            <w:right w:w="108" w:type="dxa"/>
          </w:tblCellMar>
        </w:tblPrEx>
        <w:trPr>
          <w:trHeight w:val="630"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金额</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    目</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行次</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一般公共预算财政拨款</w:t>
            </w:r>
          </w:p>
        </w:tc>
        <w:tc>
          <w:tcPr>
            <w:tcW w:w="1394"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政府性基金预算财政拨款</w:t>
            </w:r>
          </w:p>
        </w:tc>
        <w:tc>
          <w:tcPr>
            <w:tcW w:w="1573"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国有资本经营预算财政拨款</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078"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    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4</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5</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w:t>
            </w:r>
          </w:p>
        </w:tc>
        <w:tc>
          <w:tcPr>
            <w:tcW w:w="10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276.24</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一、一般公共服务支出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二、政府性基金预算财政拨款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二、社会保障和就业支出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16</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34.22</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34.22</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三、国有资本经营预算财政拨款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三、卫生健康支出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17</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16.59</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16.59</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4</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四、城乡社区支出</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18</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211.05</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211.05</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5</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19</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6</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7</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21</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8</w:t>
            </w:r>
          </w:p>
        </w:tc>
        <w:tc>
          <w:tcPr>
            <w:tcW w:w="1078"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22</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387"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本年收入合计</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9</w:t>
            </w:r>
          </w:p>
        </w:tc>
        <w:tc>
          <w:tcPr>
            <w:tcW w:w="10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276.24</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本年支出合计</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23</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261.86</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261.86</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年初财政拨款结转和结余</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10</w:t>
            </w:r>
          </w:p>
        </w:tc>
        <w:tc>
          <w:tcPr>
            <w:tcW w:w="10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24.33</w:t>
            </w:r>
          </w:p>
        </w:tc>
        <w:tc>
          <w:tcPr>
            <w:tcW w:w="3411"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年末财政拨款结转和结余</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24</w:t>
            </w:r>
          </w:p>
        </w:tc>
        <w:tc>
          <w:tcPr>
            <w:tcW w:w="157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38.71</w:t>
            </w:r>
          </w:p>
        </w:tc>
        <w:tc>
          <w:tcPr>
            <w:tcW w:w="1394"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38.71</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一般公共预算财政拨款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11</w:t>
            </w:r>
          </w:p>
        </w:tc>
        <w:tc>
          <w:tcPr>
            <w:tcW w:w="10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24.33</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25</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政府性基金预算财政拨款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12</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26</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 xml:space="preserve">          国有资本经营预算财政拨款</w:t>
            </w:r>
          </w:p>
        </w:tc>
        <w:tc>
          <w:tcPr>
            <w:tcW w:w="436"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13</w:t>
            </w:r>
          </w:p>
        </w:tc>
        <w:tc>
          <w:tcPr>
            <w:tcW w:w="1078" w:type="dxa"/>
            <w:tcBorders>
              <w:top w:val="nil"/>
              <w:left w:val="nil"/>
              <w:bottom w:val="single" w:color="auto" w:sz="4" w:space="0"/>
              <w:right w:val="single" w:color="auto" w:sz="4" w:space="0"/>
            </w:tcBorders>
            <w:shd w:val="clear" w:color="auto" w:fill="auto"/>
            <w:noWrap/>
            <w:vAlign w:val="center"/>
          </w:tcPr>
          <w:p>
            <w:pPr>
              <w:widowControl/>
              <w:jc w:val="right"/>
              <w:rPr>
                <w:rFonts w:ascii="宋体" w:hAnsi="宋体" w:eastAsia="宋体" w:cs="宋体"/>
                <w:kern w:val="0"/>
                <w:sz w:val="22"/>
              </w:rPr>
            </w:pPr>
            <w:r>
              <w:rPr>
                <w:rFonts w:hint="eastAsia" w:ascii="宋体" w:hAnsi="宋体" w:eastAsia="宋体" w:cs="宋体"/>
                <w:kern w:val="0"/>
                <w:sz w:val="22"/>
              </w:rPr>
              <w:t>　</w:t>
            </w:r>
          </w:p>
        </w:tc>
        <w:tc>
          <w:tcPr>
            <w:tcW w:w="3411"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kern w:val="0"/>
                <w:sz w:val="22"/>
              </w:rPr>
            </w:pPr>
            <w:r>
              <w:rPr>
                <w:rFonts w:hint="eastAsia" w:ascii="宋体" w:hAnsi="宋体" w:eastAsia="宋体" w:cs="宋体"/>
                <w:kern w:val="0"/>
                <w:sz w:val="22"/>
              </w:rPr>
              <w:t>　</w:t>
            </w:r>
          </w:p>
        </w:tc>
        <w:tc>
          <w:tcPr>
            <w:tcW w:w="1067" w:type="dxa"/>
            <w:gridSpan w:val="2"/>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27</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kern w:val="0"/>
                <w:sz w:val="22"/>
              </w:rPr>
            </w:pPr>
          </w:p>
        </w:tc>
      </w:tr>
      <w:tr>
        <w:tblPrEx>
          <w:tblCellMar>
            <w:top w:w="0" w:type="dxa"/>
            <w:left w:w="108" w:type="dxa"/>
            <w:bottom w:w="0" w:type="dxa"/>
            <w:right w:w="108" w:type="dxa"/>
          </w:tblCellMar>
        </w:tblPrEx>
        <w:trPr>
          <w:trHeight w:val="402" w:hRule="atLeast"/>
        </w:trPr>
        <w:tc>
          <w:tcPr>
            <w:tcW w:w="3595" w:type="dxa"/>
            <w:tcBorders>
              <w:top w:val="nil"/>
              <w:left w:val="single" w:color="auto" w:sz="4" w:space="0"/>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436"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14</w:t>
            </w:r>
          </w:p>
        </w:tc>
        <w:tc>
          <w:tcPr>
            <w:tcW w:w="1078"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color w:val="000000"/>
                <w:kern w:val="2"/>
                <w:sz w:val="22"/>
                <w:szCs w:val="22"/>
                <w:u w:val="none"/>
                <w:lang w:val="en-US" w:eastAsia="zh-CN" w:bidi="ar-SA"/>
              </w:rPr>
            </w:pPr>
            <w:r>
              <w:rPr>
                <w:rFonts w:hint="eastAsia" w:ascii="宋体" w:hAnsi="宋体" w:eastAsia="宋体" w:cs="宋体"/>
                <w:i w:val="0"/>
                <w:color w:val="000000"/>
                <w:kern w:val="0"/>
                <w:sz w:val="22"/>
                <w:szCs w:val="22"/>
                <w:u w:val="none"/>
                <w:lang w:val="en-US" w:eastAsia="zh-CN" w:bidi="ar"/>
              </w:rPr>
              <w:t>300.57</w:t>
            </w:r>
          </w:p>
        </w:tc>
        <w:tc>
          <w:tcPr>
            <w:tcW w:w="3411" w:type="dxa"/>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b/>
                <w:bCs/>
                <w:kern w:val="0"/>
                <w:sz w:val="22"/>
              </w:rPr>
            </w:pPr>
            <w:r>
              <w:rPr>
                <w:rFonts w:hint="eastAsia" w:ascii="宋体" w:hAnsi="宋体" w:eastAsia="宋体" w:cs="宋体"/>
                <w:b/>
                <w:bCs/>
                <w:kern w:val="0"/>
                <w:sz w:val="22"/>
              </w:rPr>
              <w:t>总计</w:t>
            </w:r>
          </w:p>
        </w:tc>
        <w:tc>
          <w:tcPr>
            <w:tcW w:w="1067" w:type="dxa"/>
            <w:gridSpan w:val="2"/>
            <w:tcBorders>
              <w:top w:val="nil"/>
              <w:left w:val="nil"/>
              <w:bottom w:val="single" w:color="auto" w:sz="4" w:space="0"/>
              <w:right w:val="single" w:color="auto" w:sz="4" w:space="0"/>
            </w:tcBorders>
            <w:shd w:val="clear" w:color="000000" w:fill="FFFFFF"/>
            <w:noWrap/>
            <w:vAlign w:val="center"/>
          </w:tcPr>
          <w:p>
            <w:pPr>
              <w:widowControl/>
              <w:jc w:val="center"/>
              <w:rPr>
                <w:rFonts w:ascii="宋体" w:hAnsi="宋体" w:eastAsia="宋体" w:cs="宋体"/>
                <w:kern w:val="0"/>
                <w:sz w:val="22"/>
              </w:rPr>
            </w:pPr>
            <w:r>
              <w:rPr>
                <w:rFonts w:hint="eastAsia" w:ascii="宋体" w:hAnsi="宋体" w:eastAsia="宋体" w:cs="宋体"/>
                <w:kern w:val="0"/>
                <w:sz w:val="22"/>
              </w:rPr>
              <w:t>28</w:t>
            </w:r>
          </w:p>
        </w:tc>
        <w:tc>
          <w:tcPr>
            <w:tcW w:w="1573"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300.57</w:t>
            </w:r>
          </w:p>
        </w:tc>
        <w:tc>
          <w:tcPr>
            <w:tcW w:w="1394" w:type="dxa"/>
            <w:tcBorders>
              <w:top w:val="nil"/>
              <w:left w:val="nil"/>
              <w:bottom w:val="single" w:color="auto" w:sz="4" w:space="0"/>
              <w:right w:val="single" w:color="auto" w:sz="4" w:space="0"/>
            </w:tcBorders>
            <w:shd w:val="clear" w:color="000000" w:fill="FFFFFF"/>
            <w:noWrap/>
            <w:vAlign w:val="center"/>
          </w:tcPr>
          <w:p>
            <w:pPr>
              <w:keepNext w:val="0"/>
              <w:keepLines w:val="0"/>
              <w:widowControl/>
              <w:suppressLineNumbers w:val="0"/>
              <w:jc w:val="center"/>
              <w:textAlignment w:val="center"/>
              <w:rPr>
                <w:rFonts w:ascii="宋体" w:hAnsi="宋体" w:eastAsia="宋体" w:cs="宋体"/>
                <w:kern w:val="0"/>
                <w:sz w:val="22"/>
              </w:rPr>
            </w:pPr>
            <w:r>
              <w:rPr>
                <w:rFonts w:hint="eastAsia" w:ascii="宋体" w:hAnsi="宋体" w:eastAsia="宋体" w:cs="宋体"/>
                <w:i w:val="0"/>
                <w:color w:val="000000"/>
                <w:kern w:val="0"/>
                <w:sz w:val="22"/>
                <w:szCs w:val="22"/>
                <w:u w:val="none"/>
                <w:lang w:val="en-US" w:eastAsia="zh-CN" w:bidi="ar"/>
              </w:rPr>
              <w:t>300.57</w:t>
            </w:r>
          </w:p>
        </w:tc>
        <w:tc>
          <w:tcPr>
            <w:tcW w:w="1394"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kern w:val="0"/>
                <w:sz w:val="22"/>
                <w:lang w:val="en-US" w:eastAsia="zh-CN"/>
              </w:rPr>
              <w:t>0.00</w:t>
            </w:r>
          </w:p>
        </w:tc>
        <w:tc>
          <w:tcPr>
            <w:tcW w:w="1573" w:type="dxa"/>
            <w:tcBorders>
              <w:top w:val="nil"/>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b/>
                <w:bCs/>
                <w:kern w:val="0"/>
                <w:sz w:val="22"/>
              </w:rPr>
            </w:pPr>
            <w:r>
              <w:rPr>
                <w:rFonts w:hint="eastAsia" w:ascii="宋体" w:hAnsi="宋体" w:eastAsia="宋体" w:cs="宋体"/>
                <w:kern w:val="0"/>
                <w:sz w:val="22"/>
                <w:lang w:val="en-US" w:eastAsia="zh-CN"/>
              </w:rPr>
              <w:t>0.00</w:t>
            </w:r>
          </w:p>
        </w:tc>
      </w:tr>
      <w:tr>
        <w:tblPrEx>
          <w:tblCellMar>
            <w:top w:w="0" w:type="dxa"/>
            <w:left w:w="108" w:type="dxa"/>
            <w:bottom w:w="0" w:type="dxa"/>
            <w:right w:w="108" w:type="dxa"/>
          </w:tblCellMar>
        </w:tblPrEx>
        <w:trPr>
          <w:trHeight w:val="585" w:hRule="atLeast"/>
        </w:trPr>
        <w:tc>
          <w:tcPr>
            <w:tcW w:w="15521" w:type="dxa"/>
            <w:gridSpan w:val="10"/>
            <w:tcBorders>
              <w:top w:val="nil"/>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注：本表反映部门本年度一般公共预算财政拨款、政府性基金预算财政拨款和国有资本经营预算财政拨款的总收支和年末结转结余情况。</w:t>
            </w: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1"/>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auto"/>
          <w:kern w:val="0"/>
          <w:szCs w:val="21"/>
          <w:lang w:eastAsia="zh-CN"/>
        </w:rPr>
        <w:t>湘乡市建设工程质量安全监督站</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6"/>
        <w:tblW w:w="14219" w:type="dxa"/>
        <w:jc w:val="center"/>
        <w:tblLayout w:type="autofit"/>
        <w:tblCellMar>
          <w:top w:w="0" w:type="dxa"/>
          <w:left w:w="108" w:type="dxa"/>
          <w:bottom w:w="0" w:type="dxa"/>
          <w:right w:w="108" w:type="dxa"/>
        </w:tblCellMar>
      </w:tblPr>
      <w:tblGrid>
        <w:gridCol w:w="436"/>
        <w:gridCol w:w="436"/>
        <w:gridCol w:w="425"/>
        <w:gridCol w:w="11"/>
        <w:gridCol w:w="3487"/>
        <w:gridCol w:w="2980"/>
        <w:gridCol w:w="3467"/>
        <w:gridCol w:w="2977"/>
      </w:tblGrid>
      <w:tr>
        <w:tblPrEx>
          <w:tblCellMar>
            <w:top w:w="0" w:type="dxa"/>
            <w:left w:w="108" w:type="dxa"/>
            <w:bottom w:w="0" w:type="dxa"/>
            <w:right w:w="108" w:type="dxa"/>
          </w:tblCellMar>
        </w:tblPrEx>
        <w:trPr>
          <w:trHeight w:val="405" w:hRule="atLeast"/>
          <w:jc w:val="center"/>
        </w:trPr>
        <w:tc>
          <w:tcPr>
            <w:tcW w:w="4727" w:type="dxa"/>
            <w:gridSpan w:val="5"/>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gridSpan w:val="2"/>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gridSpan w:val="2"/>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5"/>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03"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类</w:t>
            </w:r>
          </w:p>
        </w:tc>
        <w:tc>
          <w:tcPr>
            <w:tcW w:w="403"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款</w:t>
            </w:r>
          </w:p>
        </w:tc>
        <w:tc>
          <w:tcPr>
            <w:tcW w:w="404"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center"/>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项</w:t>
            </w:r>
          </w:p>
        </w:tc>
        <w:tc>
          <w:tcPr>
            <w:tcW w:w="3517"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合计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i w:val="0"/>
                <w:color w:val="000000"/>
                <w:kern w:val="0"/>
                <w:sz w:val="22"/>
                <w:szCs w:val="22"/>
                <w:u w:val="none"/>
                <w:lang w:val="en-US" w:eastAsia="zh-CN" w:bidi="ar"/>
              </w:rPr>
              <w:t>261.86</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i w:val="0"/>
                <w:color w:val="000000"/>
                <w:kern w:val="0"/>
                <w:sz w:val="22"/>
                <w:szCs w:val="22"/>
                <w:u w:val="none"/>
                <w:lang w:val="en-US" w:eastAsia="zh-CN" w:bidi="ar"/>
              </w:rPr>
              <w:t>261.86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b/>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w:t>
            </w:r>
          </w:p>
        </w:tc>
        <w:tc>
          <w:tcPr>
            <w:tcW w:w="3527" w:type="dxa"/>
            <w:gridSpan w:val="2"/>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社会保障和就业支出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34.22</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34.22</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20805</w:t>
            </w:r>
          </w:p>
        </w:tc>
        <w:tc>
          <w:tcPr>
            <w:tcW w:w="3527" w:type="dxa"/>
            <w:gridSpan w:val="2"/>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行政事业单位养老支出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30.66</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30.66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2080505</w:t>
            </w:r>
          </w:p>
        </w:tc>
        <w:tc>
          <w:tcPr>
            <w:tcW w:w="3527" w:type="dxa"/>
            <w:gridSpan w:val="2"/>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机关事业单位基本养老保险缴费支出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30.66</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30.66</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20827</w:t>
            </w:r>
          </w:p>
        </w:tc>
        <w:tc>
          <w:tcPr>
            <w:tcW w:w="3527" w:type="dxa"/>
            <w:gridSpan w:val="2"/>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财政对其他社会保险基金的补助</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2.29</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2.29</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2082701</w:t>
            </w:r>
          </w:p>
        </w:tc>
        <w:tc>
          <w:tcPr>
            <w:tcW w:w="3527" w:type="dxa"/>
            <w:gridSpan w:val="2"/>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财政对失业保险基金的补助</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1.27</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1.27</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2082702</w:t>
            </w:r>
          </w:p>
        </w:tc>
        <w:tc>
          <w:tcPr>
            <w:tcW w:w="3527" w:type="dxa"/>
            <w:gridSpan w:val="2"/>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财政对工伤保险基金的补助</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1.02</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1.02</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20899</w:t>
            </w:r>
          </w:p>
        </w:tc>
        <w:tc>
          <w:tcPr>
            <w:tcW w:w="3527" w:type="dxa"/>
            <w:gridSpan w:val="2"/>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其他社会保障和就业支出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1.27</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1.27</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2089901</w:t>
            </w:r>
          </w:p>
        </w:tc>
        <w:tc>
          <w:tcPr>
            <w:tcW w:w="3527" w:type="dxa"/>
            <w:gridSpan w:val="2"/>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其他社会保障和就业支出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1.27</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1.27</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210</w:t>
            </w:r>
          </w:p>
        </w:tc>
        <w:tc>
          <w:tcPr>
            <w:tcW w:w="3527" w:type="dxa"/>
            <w:gridSpan w:val="2"/>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卫生健康支出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16.59</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16.59</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21011</w:t>
            </w:r>
          </w:p>
        </w:tc>
        <w:tc>
          <w:tcPr>
            <w:tcW w:w="3527" w:type="dxa"/>
            <w:gridSpan w:val="2"/>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行政事业单位医疗</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16.59</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16.59</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2101101</w:t>
            </w:r>
          </w:p>
        </w:tc>
        <w:tc>
          <w:tcPr>
            <w:tcW w:w="3527" w:type="dxa"/>
            <w:gridSpan w:val="2"/>
            <w:tcBorders>
              <w:top w:val="nil"/>
              <w:left w:val="single" w:color="auto" w:sz="4"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行政单位医疗</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2.28</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2.28</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2101102</w:t>
            </w:r>
          </w:p>
        </w:tc>
        <w:tc>
          <w:tcPr>
            <w:tcW w:w="352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事业单位医疗</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14.31</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14.31</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w:t>
            </w:r>
          </w:p>
        </w:tc>
        <w:tc>
          <w:tcPr>
            <w:tcW w:w="3527" w:type="dxa"/>
            <w:gridSpan w:val="2"/>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城乡社区支出</w:t>
            </w:r>
          </w:p>
        </w:tc>
        <w:tc>
          <w:tcPr>
            <w:tcW w:w="3000"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211.05</w:t>
            </w:r>
          </w:p>
        </w:tc>
        <w:tc>
          <w:tcPr>
            <w:tcW w:w="3492" w:type="dxa"/>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211.05</w:t>
            </w:r>
          </w:p>
        </w:tc>
        <w:tc>
          <w:tcPr>
            <w:tcW w:w="3000" w:type="dxa"/>
            <w:tcBorders>
              <w:top w:val="single" w:color="auto" w:sz="4" w:space="0"/>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21201</w:t>
            </w:r>
          </w:p>
        </w:tc>
        <w:tc>
          <w:tcPr>
            <w:tcW w:w="352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城乡社区管理事务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12.00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12.00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gridSpan w:val="3"/>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2120106</w:t>
            </w:r>
          </w:p>
        </w:tc>
        <w:tc>
          <w:tcPr>
            <w:tcW w:w="3527" w:type="dxa"/>
            <w:gridSpan w:val="2"/>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工程建设管理</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12.00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12.00</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gridSpan w:val="3"/>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21206</w:t>
            </w:r>
          </w:p>
        </w:tc>
        <w:tc>
          <w:tcPr>
            <w:tcW w:w="3527"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建设市场管理与监督</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199.05</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199.05</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450" w:hRule="atLeast"/>
          <w:jc w:val="center"/>
        </w:trPr>
        <w:tc>
          <w:tcPr>
            <w:tcW w:w="1200" w:type="dxa"/>
            <w:gridSpan w:val="3"/>
            <w:tcBorders>
              <w:top w:val="single" w:color="auto" w:sz="4" w:space="0"/>
              <w:left w:val="single" w:color="auto" w:sz="8" w:space="0"/>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2120601</w:t>
            </w:r>
          </w:p>
        </w:tc>
        <w:tc>
          <w:tcPr>
            <w:tcW w:w="3527" w:type="dxa"/>
            <w:gridSpan w:val="2"/>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lef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 xml:space="preserve">  建设市场管理与监督</w:t>
            </w:r>
          </w:p>
        </w:tc>
        <w:tc>
          <w:tcPr>
            <w:tcW w:w="3000"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199.05</w:t>
            </w:r>
          </w:p>
        </w:tc>
        <w:tc>
          <w:tcPr>
            <w:tcW w:w="3492" w:type="dxa"/>
            <w:tcBorders>
              <w:top w:val="nil"/>
              <w:left w:val="nil"/>
              <w:bottom w:val="single" w:color="auto" w:sz="8" w:space="0"/>
              <w:right w:val="single" w:color="auto" w:sz="4"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199.05</w:t>
            </w:r>
          </w:p>
        </w:tc>
        <w:tc>
          <w:tcPr>
            <w:tcW w:w="3000" w:type="dxa"/>
            <w:tcBorders>
              <w:top w:val="nil"/>
              <w:left w:val="nil"/>
              <w:bottom w:val="single" w:color="auto" w:sz="8" w:space="0"/>
              <w:right w:val="single" w:color="auto" w:sz="8" w:space="0"/>
            </w:tcBorders>
            <w:shd w:val="clear" w:color="auto" w:fill="auto"/>
            <w:vAlign w:val="center"/>
          </w:tcPr>
          <w:p>
            <w:pPr>
              <w:keepNext w:val="0"/>
              <w:keepLines w:val="0"/>
              <w:widowControl/>
              <w:suppressLineNumbers w:val="0"/>
              <w:jc w:val="right"/>
              <w:textAlignment w:val="center"/>
              <w:rPr>
                <w:rFonts w:ascii="Times New Roman" w:hAnsi="Times New Roman" w:eastAsia="仿宋_GB2312" w:cs="Times New Roman"/>
                <w:kern w:val="0"/>
                <w:szCs w:val="21"/>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645" w:hRule="atLeast"/>
          <w:jc w:val="center"/>
        </w:trPr>
        <w:tc>
          <w:tcPr>
            <w:tcW w:w="14219" w:type="dxa"/>
            <w:gridSpan w:val="8"/>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tbl>
      <w:tblPr>
        <w:tblStyle w:val="6"/>
        <w:tblW w:w="0" w:type="auto"/>
        <w:tblInd w:w="0" w:type="dxa"/>
        <w:tblLayout w:type="fixed"/>
        <w:tblCellMar>
          <w:top w:w="0" w:type="dxa"/>
          <w:left w:w="108" w:type="dxa"/>
          <w:bottom w:w="0" w:type="dxa"/>
          <w:right w:w="108" w:type="dxa"/>
        </w:tblCellMar>
      </w:tblPr>
      <w:tblGrid>
        <w:gridCol w:w="1072"/>
        <w:gridCol w:w="3315"/>
        <w:gridCol w:w="1140"/>
        <w:gridCol w:w="855"/>
        <w:gridCol w:w="2190"/>
        <w:gridCol w:w="1003"/>
        <w:gridCol w:w="977"/>
        <w:gridCol w:w="3900"/>
        <w:gridCol w:w="990"/>
      </w:tblGrid>
      <w:tr>
        <w:tblPrEx>
          <w:tblCellMar>
            <w:top w:w="0" w:type="dxa"/>
            <w:left w:w="108" w:type="dxa"/>
            <w:bottom w:w="0" w:type="dxa"/>
            <w:right w:w="108" w:type="dxa"/>
          </w:tblCellMar>
        </w:tblPrEx>
        <w:trPr>
          <w:trHeight w:val="113" w:hRule="atLeast"/>
        </w:trPr>
        <w:tc>
          <w:tcPr>
            <w:tcW w:w="15442" w:type="dxa"/>
            <w:gridSpan w:val="9"/>
            <w:tcBorders>
              <w:top w:val="nil"/>
              <w:left w:val="nil"/>
              <w:bottom w:val="nil"/>
              <w:right w:val="nil"/>
            </w:tcBorders>
            <w:shd w:val="clear" w:color="auto" w:fill="auto"/>
            <w:noWrap/>
            <w:vAlign w:val="center"/>
          </w:tcPr>
          <w:p>
            <w:pPr>
              <w:widowControl/>
              <w:jc w:val="center"/>
              <w:rPr>
                <w:rFonts w:ascii="华文中宋" w:hAnsi="华文中宋" w:eastAsia="华文中宋" w:cs="宋体"/>
                <w:color w:val="000000"/>
                <w:kern w:val="0"/>
                <w:szCs w:val="32"/>
              </w:rPr>
            </w:pPr>
            <w:bookmarkStart w:id="2" w:name="RANGE!A1:I34"/>
            <w:r>
              <w:rPr>
                <w:rFonts w:hint="eastAsia" w:ascii="华文中宋" w:hAnsi="华文中宋" w:eastAsia="华文中宋" w:cs="宋体"/>
                <w:color w:val="000000"/>
                <w:kern w:val="0"/>
                <w:szCs w:val="32"/>
              </w:rPr>
              <w:t>一般公共预算财政拨款基本支出决算表</w:t>
            </w:r>
            <w:bookmarkEnd w:id="2"/>
          </w:p>
          <w:p>
            <w:pPr>
              <w:widowControl/>
              <w:wordWrap w:val="0"/>
              <w:jc w:val="righ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auto"/>
                <w:kern w:val="0"/>
                <w:szCs w:val="21"/>
                <w:lang w:eastAsia="zh-CN"/>
              </w:rPr>
              <w:t>湘乡市建设工程质量安全监督站</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公开06表       </w:t>
            </w:r>
          </w:p>
          <w:p>
            <w:pPr>
              <w:widowControl/>
              <w:jc w:val="right"/>
              <w:rPr>
                <w:rFonts w:ascii="华文中宋" w:hAnsi="华文中宋" w:eastAsia="华文中宋" w:cs="宋体"/>
                <w:color w:val="000000"/>
                <w:kern w:val="0"/>
                <w:szCs w:val="32"/>
              </w:rPr>
            </w:pPr>
            <w:r>
              <w:rPr>
                <w:rFonts w:hint="eastAsia" w:ascii="Times New Roman" w:hAnsi="Times New Roman" w:eastAsia="仿宋_GB2312" w:cs="Times New Roman"/>
                <w:color w:val="000000"/>
                <w:kern w:val="0"/>
                <w:szCs w:val="21"/>
              </w:rPr>
              <w:t>单位：万元</w:t>
            </w:r>
          </w:p>
        </w:tc>
      </w:tr>
      <w:tr>
        <w:tblPrEx>
          <w:tblCellMar>
            <w:top w:w="0" w:type="dxa"/>
            <w:left w:w="108" w:type="dxa"/>
            <w:bottom w:w="0" w:type="dxa"/>
            <w:right w:w="108" w:type="dxa"/>
          </w:tblCellMar>
        </w:tblPrEx>
        <w:trPr>
          <w:trHeight w:val="113" w:hRule="atLeast"/>
        </w:trPr>
        <w:tc>
          <w:tcPr>
            <w:tcW w:w="1072"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 w:val="20"/>
                <w:szCs w:val="20"/>
              </w:rPr>
              <w:t>经济分类科目编码</w:t>
            </w:r>
          </w:p>
        </w:tc>
        <w:tc>
          <w:tcPr>
            <w:tcW w:w="331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14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85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21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1003"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c>
          <w:tcPr>
            <w:tcW w:w="97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经济分类科目编码</w:t>
            </w:r>
          </w:p>
        </w:tc>
        <w:tc>
          <w:tcPr>
            <w:tcW w:w="390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科目名称</w:t>
            </w:r>
          </w:p>
        </w:tc>
        <w:tc>
          <w:tcPr>
            <w:tcW w:w="990"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决算数</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工资福利支出</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248.47</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商品和服务支出</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13.39</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债务利息及费用支出</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30101</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基本工资</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95.86</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30201</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1.27</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30701</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国内债务付息</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30102</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津贴补贴</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4.75</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30202</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印刷费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0.98</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30702</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国外债务付息</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30103</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奖金</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27.82</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30203</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咨询费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资本性支出</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30106</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伙食补助费</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15.39</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30204</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手续费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31001</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房屋建筑物购建</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30107</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绩效工资</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15.02</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30205</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水费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0.11</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31002</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办公设备购置</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30108</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机关事业单位基本养老保险缴费</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30.66</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30206</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电费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2.97</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31003</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专用设备购置</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30109</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职业年金缴费</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30207</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邮电费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0.12</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31005</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基础设施建设</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30110</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职工基本医疗保险缴费</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14.31</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30208</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取暖费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31006</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大型修缮</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30111</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公务员医疗补助缴费</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2.28</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30209</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物业管理费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31007</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信息网络及软件购置更新</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30112</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其他社会保障缴费</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2.29</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30211</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差旅费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0.59</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31008</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物资储备</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30113</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住房公积金</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40.08</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30212</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因公出国（境）费用</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31009</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土地补偿</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30114</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30213</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维修（护）费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31010</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安置补助</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30199</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其他工资福利支出</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30214</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租赁费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31011</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地上附着物和青苗补偿</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对个人和家庭的补助</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30215</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会议费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0.40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31012</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拆迁补偿</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30301</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离休费</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30216</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培训费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1.03</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31013</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公务用车购置</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30302</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退休费</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30217</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公务接待费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31019</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其他交通工具购置</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30303</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退职（役）费</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30218</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专用材料费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31021</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文物和陈列品购置</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30304</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抚恤金</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30224</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被装购置费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31022</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无形资产购置</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30305</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生活补助</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30225</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专用燃料费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31099</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其他资本性支出</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30306</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救济费</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30226</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劳务费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其他支出</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30307</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医疗费补助</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30227</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委托业务费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39906</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赠与</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30308</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助学金</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30228</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工会经费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5.92</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39907</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国家赔偿费用支出</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30309</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奖励金</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30229</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福利费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39908</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对民间非营利组织和群众性自治组织补贴</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30310</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个人农业生产补贴</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30231</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公务用车运行维护费</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39999</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其他支出</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30311</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代缴社会保险费</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30239</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其他交通费用</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9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30399</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其他对个人和家庭的补助</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30240</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税金及附加费用</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9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1072" w:type="dxa"/>
            <w:tcBorders>
              <w:top w:val="nil"/>
              <w:left w:val="single" w:color="auto" w:sz="4" w:space="0"/>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331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855"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30299</w:t>
            </w:r>
          </w:p>
        </w:tc>
        <w:tc>
          <w:tcPr>
            <w:tcW w:w="219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20"/>
              </w:rPr>
            </w:pPr>
            <w:r>
              <w:rPr>
                <w:rFonts w:hint="eastAsia" w:ascii="宋体" w:hAnsi="宋体" w:eastAsia="宋体" w:cs="宋体"/>
                <w:color w:val="000000"/>
                <w:kern w:val="0"/>
                <w:szCs w:val="20"/>
              </w:rPr>
              <w:t xml:space="preserve">  其他商品和服务支出</w:t>
            </w:r>
          </w:p>
        </w:tc>
        <w:tc>
          <w:tcPr>
            <w:tcW w:w="1003"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0.00</w:t>
            </w:r>
          </w:p>
        </w:tc>
        <w:tc>
          <w:tcPr>
            <w:tcW w:w="977"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3900" w:type="dxa"/>
            <w:tcBorders>
              <w:top w:val="nil"/>
              <w:left w:val="nil"/>
              <w:bottom w:val="single" w:color="auto" w:sz="4" w:space="0"/>
              <w:right w:val="single" w:color="auto" w:sz="4" w:space="0"/>
            </w:tcBorders>
            <w:shd w:val="clear" w:color="auto" w:fill="auto"/>
            <w:noWrap/>
            <w:vAlign w:val="center"/>
          </w:tcPr>
          <w:p>
            <w:pPr>
              <w:widowControl/>
              <w:jc w:val="left"/>
              <w:rPr>
                <w:rFonts w:ascii="宋体" w:hAnsi="宋体" w:eastAsia="宋体" w:cs="宋体"/>
                <w:color w:val="000000"/>
                <w:kern w:val="0"/>
                <w:szCs w:val="18"/>
              </w:rPr>
            </w:pPr>
            <w:r>
              <w:rPr>
                <w:rFonts w:hint="eastAsia" w:ascii="宋体" w:hAnsi="宋体" w:eastAsia="宋体" w:cs="宋体"/>
                <w:color w:val="000000"/>
                <w:kern w:val="0"/>
                <w:szCs w:val="18"/>
              </w:rPr>
              <w:t>　</w:t>
            </w:r>
          </w:p>
        </w:tc>
        <w:tc>
          <w:tcPr>
            <w:tcW w:w="990" w:type="dxa"/>
            <w:tcBorders>
              <w:top w:val="nil"/>
              <w:left w:val="nil"/>
              <w:bottom w:val="single" w:color="auto" w:sz="4" w:space="0"/>
              <w:right w:val="single" w:color="auto" w:sz="4" w:space="0"/>
            </w:tcBorders>
            <w:shd w:val="clear" w:color="auto" w:fill="auto"/>
            <w:noWrap/>
            <w:vAlign w:val="center"/>
          </w:tcPr>
          <w:p>
            <w:pPr>
              <w:jc w:val="right"/>
              <w:rPr>
                <w:rFonts w:ascii="宋体" w:hAnsi="宋体" w:eastAsia="宋体" w:cs="宋体"/>
                <w:color w:val="000000"/>
                <w:kern w:val="0"/>
                <w:szCs w:val="20"/>
              </w:rPr>
            </w:pPr>
          </w:p>
        </w:tc>
      </w:tr>
      <w:tr>
        <w:tblPrEx>
          <w:tblCellMar>
            <w:top w:w="0" w:type="dxa"/>
            <w:left w:w="108" w:type="dxa"/>
            <w:bottom w:w="0" w:type="dxa"/>
            <w:right w:w="108" w:type="dxa"/>
          </w:tblCellMar>
        </w:tblPrEx>
        <w:trPr>
          <w:trHeight w:val="284" w:hRule="exact"/>
        </w:trPr>
        <w:tc>
          <w:tcPr>
            <w:tcW w:w="4387"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人员经费合计</w:t>
            </w:r>
          </w:p>
        </w:tc>
        <w:tc>
          <w:tcPr>
            <w:tcW w:w="114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ascii="宋体" w:hAnsi="宋体" w:eastAsia="宋体" w:cs="宋体"/>
                <w:color w:val="000000"/>
                <w:kern w:val="0"/>
                <w:szCs w:val="20"/>
              </w:rPr>
            </w:pPr>
            <w:r>
              <w:rPr>
                <w:rFonts w:hint="eastAsia" w:ascii="宋体" w:hAnsi="宋体" w:eastAsia="宋体" w:cs="宋体"/>
                <w:i w:val="0"/>
                <w:color w:val="000000"/>
                <w:kern w:val="0"/>
                <w:sz w:val="22"/>
                <w:szCs w:val="22"/>
                <w:u w:val="none"/>
                <w:lang w:val="en-US" w:eastAsia="zh-CN" w:bidi="ar"/>
              </w:rPr>
              <w:t>248.47</w:t>
            </w:r>
          </w:p>
        </w:tc>
        <w:tc>
          <w:tcPr>
            <w:tcW w:w="8925" w:type="dxa"/>
            <w:gridSpan w:val="5"/>
            <w:tcBorders>
              <w:top w:val="single" w:color="auto" w:sz="4" w:space="0"/>
              <w:left w:val="nil"/>
              <w:bottom w:val="single" w:color="auto" w:sz="4" w:space="0"/>
              <w:right w:val="single" w:color="auto" w:sz="4" w:space="0"/>
            </w:tcBorders>
            <w:shd w:val="clear" w:color="auto" w:fill="auto"/>
            <w:noWrap/>
            <w:vAlign w:val="center"/>
          </w:tcPr>
          <w:p>
            <w:pPr>
              <w:widowControl/>
              <w:jc w:val="center"/>
              <w:rPr>
                <w:rFonts w:ascii="宋体" w:hAnsi="宋体" w:eastAsia="宋体" w:cs="宋体"/>
                <w:color w:val="000000"/>
                <w:kern w:val="0"/>
                <w:szCs w:val="20"/>
              </w:rPr>
            </w:pPr>
            <w:r>
              <w:rPr>
                <w:rFonts w:hint="eastAsia" w:ascii="宋体" w:hAnsi="宋体" w:eastAsia="宋体" w:cs="宋体"/>
                <w:color w:val="000000"/>
                <w:kern w:val="0"/>
                <w:szCs w:val="20"/>
              </w:rPr>
              <w:t>公用经费合计</w:t>
            </w:r>
          </w:p>
        </w:tc>
        <w:tc>
          <w:tcPr>
            <w:tcW w:w="990" w:type="dxa"/>
            <w:tcBorders>
              <w:top w:val="nil"/>
              <w:left w:val="nil"/>
              <w:bottom w:val="single" w:color="auto" w:sz="4" w:space="0"/>
              <w:right w:val="single" w:color="auto" w:sz="4" w:space="0"/>
            </w:tcBorders>
            <w:shd w:val="clear" w:color="auto" w:fill="auto"/>
            <w:noWrap/>
            <w:vAlign w:val="center"/>
          </w:tcPr>
          <w:p>
            <w:pPr>
              <w:keepNext w:val="0"/>
              <w:keepLines w:val="0"/>
              <w:widowControl/>
              <w:suppressLineNumbers w:val="0"/>
              <w:jc w:val="right"/>
              <w:textAlignment w:val="center"/>
              <w:rPr>
                <w:rFonts w:hint="default" w:ascii="宋体" w:hAnsi="宋体" w:eastAsia="宋体" w:cs="宋体"/>
                <w:color w:val="000000"/>
                <w:kern w:val="0"/>
                <w:szCs w:val="18"/>
                <w:lang w:val="en-US" w:eastAsia="zh-CN"/>
              </w:rPr>
            </w:pPr>
            <w:r>
              <w:rPr>
                <w:rFonts w:hint="eastAsia" w:ascii="宋体" w:hAnsi="宋体" w:eastAsia="宋体" w:cs="宋体"/>
                <w:color w:val="000000"/>
                <w:kern w:val="0"/>
                <w:szCs w:val="18"/>
                <w:lang w:val="en-US" w:eastAsia="zh-CN"/>
              </w:rPr>
              <w:t>13.39</w:t>
            </w:r>
          </w:p>
        </w:tc>
      </w:tr>
      <w:tr>
        <w:tblPrEx>
          <w:tblCellMar>
            <w:top w:w="0" w:type="dxa"/>
            <w:left w:w="108" w:type="dxa"/>
            <w:bottom w:w="0" w:type="dxa"/>
            <w:right w:w="108" w:type="dxa"/>
          </w:tblCellMar>
        </w:tblPrEx>
        <w:trPr>
          <w:trHeight w:val="284" w:hRule="exact"/>
        </w:trPr>
        <w:tc>
          <w:tcPr>
            <w:tcW w:w="15442" w:type="dxa"/>
            <w:gridSpan w:val="9"/>
            <w:tcBorders>
              <w:top w:val="nil"/>
              <w:left w:val="nil"/>
              <w:bottom w:val="nil"/>
              <w:right w:val="nil"/>
            </w:tcBorders>
            <w:shd w:val="clear" w:color="auto" w:fill="auto"/>
            <w:noWrap/>
            <w:vAlign w:val="center"/>
          </w:tcPr>
          <w:p>
            <w:pPr>
              <w:widowControl/>
              <w:jc w:val="left"/>
              <w:rPr>
                <w:rFonts w:ascii="宋体" w:hAnsi="宋体" w:eastAsia="宋体" w:cs="宋体"/>
                <w:color w:val="000000"/>
                <w:kern w:val="0"/>
                <w:szCs w:val="24"/>
              </w:rPr>
            </w:pPr>
            <w:r>
              <w:rPr>
                <w:rFonts w:hint="eastAsia" w:ascii="宋体" w:hAnsi="宋体" w:eastAsia="宋体" w:cs="宋体"/>
                <w:color w:val="000000"/>
                <w:kern w:val="0"/>
                <w:szCs w:val="24"/>
              </w:rPr>
              <w:t>注：本表反映部门本年度一般公共预算财政拨款基本支出明细情况。</w:t>
            </w:r>
          </w:p>
        </w:tc>
      </w:tr>
    </w:tbl>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w:t>
            </w:r>
            <w:r>
              <w:rPr>
                <w:rFonts w:ascii="Times New Roman" w:hAnsi="Times New Roman" w:eastAsia="仿宋_GB2312" w:cs="Times New Roman"/>
                <w:kern w:val="0"/>
                <w:szCs w:val="21"/>
              </w:rPr>
              <w:br w:type="textWrapping"/>
            </w: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hint="eastAsia" w:ascii="Times New Roman" w:hAnsi="Times New Roman" w:eastAsia="仿宋_GB2312" w:cs="Times New Roman"/>
                <w:kern w:val="0"/>
                <w:szCs w:val="21"/>
                <w:lang w:val="en-US" w:eastAsia="zh-CN"/>
              </w:rPr>
              <w:t>4.5</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4.5</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nil"/>
              <w:bottom w:val="single" w:color="auto" w:sz="8" w:space="0"/>
              <w:right w:val="nil"/>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0.00</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autoSpaceDE w:val="0"/>
        <w:autoSpaceDN w:val="0"/>
        <w:adjustRightInd w:val="0"/>
        <w:ind w:left="315" w:leftChars="150"/>
        <w:jc w:val="left"/>
        <w:rPr>
          <w:rFonts w:ascii="宋体" w:eastAsia="宋体" w:cs="宋体"/>
          <w:kern w:val="0"/>
          <w:sz w:val="24"/>
          <w:szCs w:val="24"/>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6"/>
        <w:tblW w:w="14440"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1320"/>
        <w:gridCol w:w="2000"/>
        <w:gridCol w:w="2000"/>
        <w:gridCol w:w="2000"/>
        <w:gridCol w:w="2000"/>
        <w:gridCol w:w="2000"/>
        <w:gridCol w:w="2000"/>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600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13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continue"/>
            <w:vAlign w:val="center"/>
          </w:tcPr>
          <w:p>
            <w:pPr>
              <w:widowControl/>
              <w:jc w:val="left"/>
              <w:rPr>
                <w:rFonts w:ascii="Times New Roman" w:hAnsi="Times New Roman" w:eastAsia="仿宋_GB2312" w:cs="Times New Roman"/>
                <w:b/>
                <w:kern w:val="0"/>
                <w:szCs w:val="21"/>
              </w:rPr>
            </w:pP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200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00"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132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c>
          <w:tcPr>
            <w:tcW w:w="2000"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2440"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8000" w:type="dxa"/>
            <w:gridSpan w:val="4"/>
            <w:shd w:val="clear" w:color="auto" w:fill="auto"/>
            <w:vAlign w:val="center"/>
          </w:tcPr>
          <w:p>
            <w:pPr>
              <w:widowControl/>
              <w:jc w:val="left"/>
              <w:rPr>
                <w:rFonts w:hint="eastAsia" w:ascii="Times New Roman" w:hAnsi="Times New Roman" w:eastAsia="仿宋_GB2312" w:cs="Times New Roman"/>
                <w:kern w:val="0"/>
                <w:szCs w:val="21"/>
                <w:lang w:eastAsia="zh-CN"/>
              </w:rPr>
            </w:pPr>
            <w:r>
              <w:rPr>
                <w:rFonts w:hint="eastAsia" w:ascii="方正仿宋简体" w:hAnsi="方正仿宋简体" w:eastAsia="方正仿宋简体" w:cs="方正仿宋简体"/>
                <w:kern w:val="0"/>
                <w:szCs w:val="21"/>
                <w:lang w:eastAsia="zh-CN"/>
              </w:rPr>
              <w:t>湘</w:t>
            </w:r>
            <w:r>
              <w:rPr>
                <w:rFonts w:hint="eastAsia" w:ascii="方正仿宋_GBK" w:hAnsi="方正仿宋_GBK" w:eastAsia="方正仿宋_GBK" w:cs="方正仿宋_GBK"/>
                <w:kern w:val="0"/>
                <w:szCs w:val="21"/>
                <w:lang w:eastAsia="zh-CN"/>
              </w:rPr>
              <w:t>乡市建设工程质量安全监督站没有政府性基金收入，也没有使用政府性基金安排的支出，故本表无数据</w:t>
            </w:r>
          </w:p>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　</w:t>
            </w:r>
          </w:p>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　</w:t>
            </w:r>
          </w:p>
          <w:p>
            <w:pPr>
              <w:widowControl/>
              <w:jc w:val="left"/>
              <w:rPr>
                <w:rFonts w:hint="eastAsia" w:ascii="Times New Roman" w:hAnsi="Times New Roman" w:eastAsia="仿宋_GB2312" w:cs="Times New Roman"/>
                <w:kern w:val="0"/>
                <w:szCs w:val="21"/>
                <w:lang w:eastAsia="zh-CN"/>
              </w:rPr>
            </w:pPr>
            <w:r>
              <w:rPr>
                <w:rFonts w:hint="eastAsia" w:ascii="Times New Roman" w:hAnsi="Times New Roman" w:eastAsia="仿宋_GB2312" w:cs="Times New Roman"/>
                <w:kern w:val="0"/>
                <w:szCs w:val="21"/>
                <w:lang w:eastAsia="zh-CN"/>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32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0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6"/>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noWrap/>
            <w:vAlign w:val="center"/>
          </w:tcPr>
          <w:p>
            <w:pPr>
              <w:widowControl/>
              <w:jc w:val="left"/>
              <w:rPr>
                <w:rFonts w:ascii="宋体" w:hAnsi="宋体" w:eastAsia="宋体" w:cs="宋体"/>
                <w:color w:val="000000"/>
                <w:kern w:val="0"/>
                <w:sz w:val="20"/>
                <w:szCs w:val="20"/>
              </w:rPr>
            </w:pPr>
            <w:r>
              <w:rPr>
                <w:rFonts w:hint="eastAsia" w:ascii="宋体" w:hAnsi="宋体" w:eastAsia="宋体" w:cs="宋体"/>
                <w:color w:val="000000"/>
                <w:kern w:val="0"/>
                <w:sz w:val="20"/>
                <w:szCs w:val="20"/>
              </w:rPr>
              <w:t>部门：</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方正仿宋_GBK" w:hAnsi="方正仿宋_GBK" w:eastAsia="方正仿宋_GBK" w:cs="方正仿宋_GBK"/>
                <w:kern w:val="0"/>
                <w:sz w:val="24"/>
                <w:szCs w:val="24"/>
              </w:rPr>
              <w:t>　</w:t>
            </w:r>
            <w:r>
              <w:rPr>
                <w:rFonts w:hint="eastAsia" w:ascii="方正仿宋_GBK" w:hAnsi="方正仿宋_GBK" w:eastAsia="方正仿宋_GBK" w:cs="方正仿宋_GBK"/>
                <w:color w:val="auto"/>
                <w:kern w:val="0"/>
                <w:szCs w:val="21"/>
                <w:lang w:eastAsia="zh-CN"/>
              </w:rPr>
              <w:t>没有该事项发生</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0"/>
        <w:rPr>
          <w:sz w:val="72"/>
          <w:szCs w:val="72"/>
        </w:rPr>
        <w:sectPr>
          <w:pgSz w:w="16838" w:h="11906" w:orient="landscape"/>
          <w:pgMar w:top="607" w:right="720" w:bottom="607" w:left="720" w:header="851" w:footer="992" w:gutter="0"/>
          <w:cols w:space="0" w:num="1"/>
          <w:rtlGutter w:val="0"/>
          <w:docGrid w:type="lines" w:linePitch="312" w:charSpace="0"/>
        </w:sectPr>
      </w:pPr>
    </w:p>
    <w:p>
      <w:pPr>
        <w:pStyle w:val="10"/>
        <w:rPr>
          <w:sz w:val="72"/>
          <w:szCs w:val="72"/>
        </w:rPr>
      </w:pPr>
    </w:p>
    <w:p>
      <w:pPr>
        <w:pStyle w:val="10"/>
        <w:rPr>
          <w:sz w:val="72"/>
          <w:szCs w:val="72"/>
        </w:rPr>
      </w:pPr>
    </w:p>
    <w:p>
      <w:pPr>
        <w:pStyle w:val="10"/>
        <w:rPr>
          <w:sz w:val="72"/>
          <w:szCs w:val="72"/>
        </w:rPr>
      </w:pPr>
    </w:p>
    <w:p>
      <w:pPr>
        <w:pStyle w:val="10"/>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第三部分</w:t>
      </w:r>
    </w:p>
    <w:p>
      <w:pPr>
        <w:pStyle w:val="10"/>
        <w:jc w:val="center"/>
        <w:rPr>
          <w:sz w:val="70"/>
          <w:szCs w:val="70"/>
        </w:rPr>
      </w:pPr>
    </w:p>
    <w:p>
      <w:pPr>
        <w:pStyle w:val="10"/>
        <w:jc w:val="center"/>
        <w:rPr>
          <w:sz w:val="70"/>
          <w:szCs w:val="70"/>
        </w:rPr>
      </w:pPr>
      <w:r>
        <w:rPr>
          <w:sz w:val="70"/>
          <w:szCs w:val="70"/>
        </w:rPr>
        <w:t>20</w:t>
      </w:r>
      <w:r>
        <w:rPr>
          <w:rFonts w:hint="eastAsia"/>
          <w:sz w:val="70"/>
          <w:szCs w:val="70"/>
        </w:rPr>
        <w:t>20年度部门决算情况说明</w:t>
      </w:r>
    </w:p>
    <w:p>
      <w:pPr>
        <w:widowControl/>
        <w:jc w:val="left"/>
        <w:rPr>
          <w:rFonts w:ascii="黑体" w:eastAsia="黑体" w:cs="黑体"/>
          <w:color w:val="000000"/>
          <w:kern w:val="0"/>
          <w:sz w:val="70"/>
          <w:szCs w:val="70"/>
        </w:rPr>
      </w:pPr>
      <w:r>
        <w:rPr>
          <w:sz w:val="70"/>
          <w:szCs w:val="70"/>
        </w:rPr>
        <w:br w:type="page"/>
      </w:r>
    </w:p>
    <w:p>
      <w:pPr>
        <w:pStyle w:val="10"/>
        <w:rPr>
          <w:rFonts w:asciiTheme="minorEastAsia" w:hAnsiTheme="minorEastAsia" w:eastAsiaTheme="minorEastAsia"/>
          <w:sz w:val="32"/>
          <w:szCs w:val="32"/>
        </w:rPr>
      </w:pPr>
    </w:p>
    <w:p>
      <w:pPr>
        <w:pStyle w:val="10"/>
        <w:rPr>
          <w:rFonts w:hAnsi="黑体"/>
          <w:b/>
          <w:sz w:val="32"/>
          <w:szCs w:val="32"/>
        </w:rPr>
      </w:pPr>
      <w:r>
        <w:rPr>
          <w:rFonts w:hint="eastAsia" w:hAnsi="黑体"/>
          <w:b/>
          <w:sz w:val="32"/>
          <w:szCs w:val="32"/>
        </w:rPr>
        <w:t>一、收入支出决算总体情况说明</w:t>
      </w:r>
    </w:p>
    <w:p>
      <w:pPr>
        <w:pStyle w:val="10"/>
        <w:ind w:firstLine="640" w:firstLineChars="200"/>
        <w:rPr>
          <w:rFonts w:hint="eastAsia" w:asciiTheme="minorEastAsia" w:hAnsiTheme="minorEastAsia" w:eastAsiaTheme="minorEastAsia"/>
          <w:color w:val="auto"/>
          <w:sz w:val="32"/>
          <w:szCs w:val="32"/>
        </w:rPr>
      </w:pPr>
      <w:r>
        <w:rPr>
          <w:rFonts w:hint="eastAsia" w:asciiTheme="minorEastAsia" w:hAnsiTheme="minorEastAsia" w:eastAsiaTheme="minorEastAsia"/>
          <w:sz w:val="32"/>
          <w:szCs w:val="32"/>
        </w:rPr>
        <w:t>2020年度收</w:t>
      </w:r>
      <w:r>
        <w:rPr>
          <w:rFonts w:hint="eastAsia" w:asciiTheme="minorEastAsia" w:hAnsiTheme="minorEastAsia" w:eastAsiaTheme="minorEastAsia"/>
          <w:sz w:val="32"/>
          <w:szCs w:val="32"/>
          <w:lang w:eastAsia="zh-CN"/>
        </w:rPr>
        <w:t>入</w:t>
      </w:r>
      <w:r>
        <w:rPr>
          <w:rFonts w:hint="eastAsia" w:asciiTheme="minorEastAsia" w:hAnsiTheme="minorEastAsia" w:eastAsiaTheme="minorEastAsia"/>
          <w:sz w:val="32"/>
          <w:szCs w:val="32"/>
        </w:rPr>
        <w:t>总计</w:t>
      </w:r>
      <w:r>
        <w:rPr>
          <w:rFonts w:hint="eastAsia" w:asciiTheme="minorEastAsia" w:hAnsiTheme="minorEastAsia" w:eastAsiaTheme="minorEastAsia"/>
          <w:sz w:val="32"/>
          <w:szCs w:val="32"/>
          <w:lang w:val="en-US" w:eastAsia="zh-CN"/>
        </w:rPr>
        <w:t>494.91</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lang w:eastAsia="zh-CN"/>
        </w:rPr>
        <w:t>，其中</w:t>
      </w:r>
      <w:r>
        <w:rPr>
          <w:rFonts w:hint="eastAsia" w:asciiTheme="minorEastAsia" w:hAnsiTheme="minorEastAsia" w:eastAsiaTheme="minorEastAsia"/>
          <w:color w:val="auto"/>
          <w:sz w:val="32"/>
          <w:szCs w:val="32"/>
        </w:rPr>
        <w:t>财政拨款收入</w:t>
      </w:r>
      <w:r>
        <w:rPr>
          <w:rFonts w:hint="eastAsia" w:asciiTheme="minorEastAsia" w:hAnsiTheme="minorEastAsia" w:eastAsiaTheme="minorEastAsia"/>
          <w:color w:val="auto"/>
          <w:sz w:val="32"/>
          <w:szCs w:val="32"/>
          <w:lang w:val="en-US" w:eastAsia="zh-CN"/>
        </w:rPr>
        <w:t>276.24万元，事业收入194.33万元，年</w:t>
      </w:r>
      <w:r>
        <w:rPr>
          <w:rFonts w:hint="eastAsia" w:asciiTheme="minorEastAsia" w:hAnsiTheme="minorEastAsia" w:eastAsiaTheme="minorEastAsia"/>
          <w:color w:val="auto"/>
          <w:sz w:val="32"/>
          <w:szCs w:val="32"/>
        </w:rPr>
        <w:t>初累计结转和结余</w:t>
      </w:r>
      <w:r>
        <w:rPr>
          <w:rFonts w:hint="eastAsia" w:asciiTheme="minorEastAsia" w:hAnsiTheme="minorEastAsia" w:eastAsiaTheme="minorEastAsia"/>
          <w:color w:val="auto"/>
          <w:sz w:val="32"/>
          <w:szCs w:val="32"/>
          <w:lang w:val="en-US" w:eastAsia="zh-CN"/>
        </w:rPr>
        <w:t>24.33</w:t>
      </w:r>
      <w:r>
        <w:rPr>
          <w:rFonts w:hint="eastAsia" w:asciiTheme="minorEastAsia" w:hAnsiTheme="minorEastAsia" w:eastAsiaTheme="minorEastAsia"/>
          <w:color w:val="auto"/>
          <w:sz w:val="32"/>
          <w:szCs w:val="32"/>
        </w:rPr>
        <w:t>万元(基本支出结转)</w:t>
      </w:r>
      <w:r>
        <w:rPr>
          <w:rFonts w:hint="eastAsia" w:asciiTheme="minorEastAsia" w:hAnsiTheme="minorEastAsia" w:eastAsiaTheme="minorEastAsia"/>
          <w:sz w:val="32"/>
          <w:szCs w:val="32"/>
        </w:rPr>
        <w:t>。与</w:t>
      </w:r>
      <w:r>
        <w:rPr>
          <w:rFonts w:hint="eastAsia" w:asciiTheme="minorEastAsia" w:hAnsiTheme="minorEastAsia" w:eastAsiaTheme="minorEastAsia"/>
          <w:sz w:val="32"/>
          <w:szCs w:val="32"/>
          <w:lang w:val="en-US" w:eastAsia="zh-CN"/>
        </w:rPr>
        <w:t>2019年财政拔款收入</w:t>
      </w:r>
      <w:r>
        <w:rPr>
          <w:rFonts w:hint="eastAsia" w:asciiTheme="minorEastAsia" w:hAnsiTheme="minorEastAsia" w:eastAsiaTheme="minorEastAsia"/>
          <w:sz w:val="32"/>
          <w:szCs w:val="32"/>
        </w:rPr>
        <w:t>相比，增加</w:t>
      </w:r>
      <w:r>
        <w:rPr>
          <w:rFonts w:hint="eastAsia" w:asciiTheme="minorEastAsia" w:hAnsiTheme="minorEastAsia" w:eastAsiaTheme="minorEastAsia"/>
          <w:sz w:val="32"/>
          <w:szCs w:val="32"/>
          <w:lang w:val="en-US" w:eastAsia="zh-CN"/>
        </w:rPr>
        <w:t>75.81</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37.73</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color w:val="auto"/>
          <w:sz w:val="32"/>
          <w:szCs w:val="32"/>
        </w:rPr>
        <w:t>20</w:t>
      </w:r>
      <w:r>
        <w:rPr>
          <w:rFonts w:hint="eastAsia" w:asciiTheme="minorEastAsia" w:hAnsiTheme="minorEastAsia" w:eastAsiaTheme="minorEastAsia"/>
          <w:color w:val="auto"/>
          <w:sz w:val="32"/>
          <w:szCs w:val="32"/>
          <w:lang w:val="en-US" w:eastAsia="zh-CN"/>
        </w:rPr>
        <w:t>20</w:t>
      </w:r>
      <w:r>
        <w:rPr>
          <w:rFonts w:hint="eastAsia" w:asciiTheme="minorEastAsia" w:hAnsiTheme="minorEastAsia" w:eastAsiaTheme="minorEastAsia"/>
          <w:color w:val="auto"/>
          <w:sz w:val="32"/>
          <w:szCs w:val="32"/>
        </w:rPr>
        <w:t>年我单位决算总支出</w:t>
      </w:r>
      <w:r>
        <w:rPr>
          <w:rFonts w:hint="eastAsia" w:asciiTheme="minorEastAsia" w:hAnsiTheme="minorEastAsia" w:eastAsiaTheme="minorEastAsia"/>
          <w:color w:val="auto"/>
          <w:sz w:val="32"/>
          <w:szCs w:val="32"/>
          <w:lang w:val="en-US" w:eastAsia="zh-CN"/>
        </w:rPr>
        <w:t>494.91</w:t>
      </w:r>
      <w:r>
        <w:rPr>
          <w:rFonts w:hint="eastAsia" w:asciiTheme="minorEastAsia" w:hAnsiTheme="minorEastAsia" w:eastAsiaTheme="minorEastAsia"/>
          <w:color w:val="auto"/>
          <w:sz w:val="32"/>
          <w:szCs w:val="32"/>
        </w:rPr>
        <w:t>万元，其中基本支出</w:t>
      </w:r>
      <w:r>
        <w:rPr>
          <w:rFonts w:hint="eastAsia" w:asciiTheme="minorEastAsia" w:hAnsiTheme="minorEastAsia" w:eastAsiaTheme="minorEastAsia"/>
          <w:color w:val="auto"/>
          <w:sz w:val="32"/>
          <w:szCs w:val="32"/>
          <w:lang w:val="en-US" w:eastAsia="zh-CN"/>
        </w:rPr>
        <w:t>410.93</w:t>
      </w:r>
      <w:r>
        <w:rPr>
          <w:rFonts w:hint="eastAsia" w:asciiTheme="minorEastAsia" w:hAnsiTheme="minorEastAsia" w:eastAsiaTheme="minorEastAsia"/>
          <w:color w:val="auto"/>
          <w:sz w:val="32"/>
          <w:szCs w:val="32"/>
        </w:rPr>
        <w:t>万元，比去年增加</w:t>
      </w:r>
      <w:r>
        <w:rPr>
          <w:rFonts w:hint="eastAsia" w:asciiTheme="minorEastAsia" w:hAnsiTheme="minorEastAsia" w:eastAsiaTheme="minorEastAsia"/>
          <w:color w:val="auto"/>
          <w:sz w:val="32"/>
          <w:szCs w:val="32"/>
          <w:lang w:val="en-US" w:eastAsia="zh-CN"/>
        </w:rPr>
        <w:t>60.46</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sz w:val="32"/>
          <w:szCs w:val="32"/>
          <w:lang w:eastAsia="zh-CN"/>
        </w:rPr>
        <w:t>增长</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eastAsia="zh-CN"/>
        </w:rPr>
        <w:t>：</w:t>
      </w:r>
      <w:r>
        <w:rPr>
          <w:rFonts w:hint="eastAsia" w:asciiTheme="minorEastAsia" w:hAnsiTheme="minorEastAsia" w:eastAsiaTheme="minorEastAsia"/>
          <w:sz w:val="32"/>
          <w:szCs w:val="32"/>
          <w:lang w:val="en-US" w:eastAsia="zh-CN"/>
        </w:rPr>
        <w:t>2020年5月起原在湘龙检测公司的员工全部到质安站发放工资及五险一金、支付基本运转等，</w:t>
      </w:r>
      <w:r>
        <w:rPr>
          <w:rFonts w:hint="eastAsia" w:asciiTheme="minorEastAsia" w:hAnsiTheme="minorEastAsia" w:eastAsiaTheme="minorEastAsia"/>
          <w:color w:val="auto"/>
          <w:sz w:val="32"/>
          <w:szCs w:val="32"/>
        </w:rPr>
        <w:t>年</w:t>
      </w:r>
      <w:r>
        <w:rPr>
          <w:rFonts w:hint="eastAsia" w:asciiTheme="minorEastAsia" w:hAnsiTheme="minorEastAsia" w:eastAsiaTheme="minorEastAsia"/>
          <w:color w:val="auto"/>
          <w:sz w:val="32"/>
          <w:szCs w:val="32"/>
          <w:lang w:eastAsia="zh-CN"/>
        </w:rPr>
        <w:t>末</w:t>
      </w:r>
      <w:r>
        <w:rPr>
          <w:rFonts w:hint="eastAsia" w:asciiTheme="minorEastAsia" w:hAnsiTheme="minorEastAsia" w:eastAsiaTheme="minorEastAsia"/>
          <w:color w:val="auto"/>
          <w:sz w:val="32"/>
          <w:szCs w:val="32"/>
        </w:rPr>
        <w:t>累计结转和结余</w:t>
      </w:r>
      <w:r>
        <w:rPr>
          <w:rFonts w:hint="eastAsia" w:asciiTheme="minorEastAsia" w:hAnsiTheme="minorEastAsia" w:eastAsiaTheme="minorEastAsia"/>
          <w:color w:val="auto"/>
          <w:sz w:val="32"/>
          <w:szCs w:val="32"/>
          <w:lang w:val="en-US" w:eastAsia="zh-CN"/>
        </w:rPr>
        <w:t>83.97</w:t>
      </w:r>
      <w:r>
        <w:rPr>
          <w:rFonts w:hint="eastAsia" w:asciiTheme="minorEastAsia" w:hAnsiTheme="minorEastAsia" w:eastAsiaTheme="minorEastAsia"/>
          <w:color w:val="auto"/>
          <w:sz w:val="32"/>
          <w:szCs w:val="32"/>
        </w:rPr>
        <w:t>万元(基本支出结转)。</w:t>
      </w:r>
    </w:p>
    <w:p>
      <w:pPr>
        <w:pStyle w:val="10"/>
        <w:ind w:firstLine="640" w:firstLineChars="200"/>
        <w:rPr>
          <w:rFonts w:hint="default" w:asciiTheme="minorEastAsia" w:hAnsiTheme="minorEastAsia" w:eastAsiaTheme="minorEastAsia"/>
          <w:sz w:val="32"/>
          <w:szCs w:val="32"/>
          <w:lang w:val="en-US" w:eastAsia="zh-CN"/>
        </w:rPr>
      </w:pPr>
    </w:p>
    <w:p>
      <w:pPr>
        <w:pStyle w:val="10"/>
        <w:rPr>
          <w:rFonts w:hAnsi="黑体"/>
          <w:b/>
          <w:sz w:val="32"/>
          <w:szCs w:val="32"/>
        </w:rPr>
      </w:pPr>
      <w:r>
        <w:rPr>
          <w:rFonts w:hint="eastAsia" w:hAnsi="黑体"/>
          <w:b/>
          <w:sz w:val="32"/>
          <w:szCs w:val="32"/>
        </w:rPr>
        <w:t>二、收入决算情况说明</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本年收入合计</w:t>
      </w:r>
      <w:r>
        <w:rPr>
          <w:rFonts w:hint="eastAsia" w:asciiTheme="minorEastAsia" w:hAnsiTheme="minorEastAsia" w:eastAsiaTheme="minorEastAsia"/>
          <w:sz w:val="32"/>
          <w:szCs w:val="32"/>
          <w:lang w:val="en-US" w:eastAsia="zh-CN"/>
        </w:rPr>
        <w:t>470.58</w:t>
      </w:r>
      <w:r>
        <w:rPr>
          <w:rFonts w:hint="eastAsia" w:asciiTheme="minorEastAsia" w:hAnsiTheme="minorEastAsia" w:eastAsiaTheme="minorEastAsia"/>
          <w:sz w:val="32"/>
          <w:szCs w:val="32"/>
        </w:rPr>
        <w:t>万元，其中：财政拨款收入</w:t>
      </w:r>
      <w:r>
        <w:rPr>
          <w:rFonts w:hint="eastAsia" w:asciiTheme="minorEastAsia" w:hAnsiTheme="minorEastAsia" w:eastAsiaTheme="minorEastAsia"/>
          <w:sz w:val="32"/>
          <w:szCs w:val="32"/>
          <w:lang w:val="en-US" w:eastAsia="zh-CN"/>
        </w:rPr>
        <w:t>276.24</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58.71</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194.33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41.29</w:t>
      </w:r>
      <w:r>
        <w:rPr>
          <w:rFonts w:hint="eastAsia" w:asciiTheme="minorEastAsia" w:hAnsiTheme="minorEastAsia" w:eastAsiaTheme="minorEastAsia"/>
          <w:sz w:val="32"/>
          <w:szCs w:val="32"/>
        </w:rPr>
        <w:t>%。</w:t>
      </w:r>
    </w:p>
    <w:p>
      <w:pPr>
        <w:pStyle w:val="10"/>
        <w:rPr>
          <w:rFonts w:hAnsi="黑体"/>
          <w:b/>
          <w:sz w:val="32"/>
          <w:szCs w:val="32"/>
        </w:rPr>
      </w:pPr>
      <w:r>
        <w:rPr>
          <w:rFonts w:hint="eastAsia" w:hAnsi="黑体"/>
          <w:b/>
          <w:sz w:val="32"/>
          <w:szCs w:val="32"/>
        </w:rPr>
        <w:t>三、支出决算情况说明</w:t>
      </w:r>
    </w:p>
    <w:p>
      <w:pPr>
        <w:pStyle w:val="10"/>
        <w:ind w:firstLine="640" w:firstLineChars="200"/>
        <w:rPr>
          <w:rFonts w:hint="eastAsia" w:asciiTheme="minorEastAsia" w:hAnsiTheme="minorEastAsia" w:eastAsiaTheme="minorEastAsia"/>
          <w:sz w:val="32"/>
          <w:szCs w:val="32"/>
          <w:lang w:val="en-US" w:eastAsia="zh-CN"/>
        </w:rPr>
      </w:pPr>
      <w:r>
        <w:rPr>
          <w:rFonts w:hint="eastAsia" w:asciiTheme="minorEastAsia" w:hAnsiTheme="minorEastAsia" w:eastAsiaTheme="minorEastAsia"/>
          <w:sz w:val="32"/>
          <w:szCs w:val="32"/>
        </w:rPr>
        <w:t>本年支出合计</w:t>
      </w:r>
      <w:r>
        <w:rPr>
          <w:rFonts w:hint="eastAsia" w:asciiTheme="minorEastAsia" w:hAnsiTheme="minorEastAsia" w:eastAsiaTheme="minorEastAsia"/>
          <w:sz w:val="32"/>
          <w:szCs w:val="32"/>
          <w:lang w:val="en-US" w:eastAsia="zh-CN"/>
        </w:rPr>
        <w:t>410.93</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410.93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100</w:t>
      </w:r>
      <w:r>
        <w:rPr>
          <w:rFonts w:hint="eastAsia" w:asciiTheme="minorEastAsia" w:hAnsiTheme="minorEastAsia" w:eastAsiaTheme="minorEastAsia"/>
          <w:sz w:val="32"/>
          <w:szCs w:val="32"/>
        </w:rPr>
        <w:t>%</w:t>
      </w:r>
      <w:r>
        <w:rPr>
          <w:rFonts w:hint="eastAsia" w:asciiTheme="minorEastAsia" w:hAnsiTheme="minorEastAsia" w:eastAsiaTheme="minorEastAsia"/>
          <w:sz w:val="32"/>
          <w:szCs w:val="32"/>
          <w:lang w:eastAsia="zh-CN"/>
        </w:rPr>
        <w:t>。</w:t>
      </w:r>
    </w:p>
    <w:p>
      <w:pPr>
        <w:pStyle w:val="10"/>
        <w:rPr>
          <w:rFonts w:hAnsi="黑体"/>
          <w:b/>
          <w:sz w:val="32"/>
          <w:szCs w:val="32"/>
        </w:rPr>
      </w:pPr>
      <w:r>
        <w:rPr>
          <w:rFonts w:hint="eastAsia" w:hAnsi="黑体"/>
          <w:b/>
          <w:sz w:val="32"/>
          <w:szCs w:val="32"/>
        </w:rPr>
        <w:t>四、财政拨款收入支出决算总体情况说明</w:t>
      </w:r>
    </w:p>
    <w:p>
      <w:pPr>
        <w:pStyle w:val="10"/>
        <w:ind w:firstLine="640"/>
        <w:rPr>
          <w:rFonts w:hint="default" w:ascii="宋体" w:hAnsi="宋体" w:eastAsiaTheme="minorEastAsia"/>
          <w:color w:val="auto"/>
          <w:kern w:val="0"/>
          <w:sz w:val="30"/>
          <w:szCs w:val="30"/>
          <w:lang w:val="en-US" w:eastAsia="zh-CN"/>
        </w:rPr>
      </w:pPr>
      <w:r>
        <w:rPr>
          <w:rFonts w:hint="eastAsia" w:asciiTheme="minorEastAsia" w:hAnsiTheme="minorEastAsia" w:eastAsiaTheme="minorEastAsia"/>
          <w:sz w:val="32"/>
          <w:szCs w:val="32"/>
        </w:rPr>
        <w:t>2020年度财政拨款收</w:t>
      </w:r>
      <w:r>
        <w:rPr>
          <w:rFonts w:hint="eastAsia" w:asciiTheme="minorEastAsia" w:hAnsiTheme="minorEastAsia" w:eastAsiaTheme="minorEastAsia"/>
          <w:sz w:val="32"/>
          <w:szCs w:val="32"/>
          <w:lang w:eastAsia="zh-CN"/>
        </w:rPr>
        <w:t>入</w:t>
      </w:r>
      <w:r>
        <w:rPr>
          <w:rFonts w:hint="eastAsia" w:asciiTheme="minorEastAsia" w:hAnsiTheme="minorEastAsia" w:eastAsiaTheme="minorEastAsia"/>
          <w:sz w:val="32"/>
          <w:szCs w:val="32"/>
        </w:rPr>
        <w:t>总计</w:t>
      </w:r>
      <w:r>
        <w:rPr>
          <w:rFonts w:hint="eastAsia" w:asciiTheme="minorEastAsia" w:hAnsiTheme="minorEastAsia" w:eastAsiaTheme="minorEastAsia"/>
          <w:sz w:val="32"/>
          <w:szCs w:val="32"/>
          <w:lang w:val="en-US" w:eastAsia="zh-CN"/>
        </w:rPr>
        <w:t>276.24</w:t>
      </w:r>
      <w:r>
        <w:rPr>
          <w:rFonts w:hint="eastAsia" w:asciiTheme="minorEastAsia" w:hAnsiTheme="minorEastAsia" w:eastAsiaTheme="minorEastAsia"/>
          <w:sz w:val="32"/>
          <w:szCs w:val="32"/>
        </w:rPr>
        <w:t>万元，与上年相比，增加</w:t>
      </w:r>
      <w:r>
        <w:rPr>
          <w:rFonts w:hint="eastAsia" w:asciiTheme="minorEastAsia" w:hAnsiTheme="minorEastAsia" w:eastAsiaTheme="minorEastAsia"/>
          <w:sz w:val="32"/>
          <w:szCs w:val="32"/>
          <w:lang w:val="en-US" w:eastAsia="zh-CN"/>
        </w:rPr>
        <w:t>75.31</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37.48</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2020年5月起原在湘龙检测公司的员工全部到质安站发放工资及五险一金、支付基本运转等；</w:t>
      </w:r>
      <w:r>
        <w:rPr>
          <w:rFonts w:hint="eastAsia" w:ascii="宋体" w:hAnsi="宋体"/>
          <w:color w:val="auto"/>
          <w:kern w:val="0"/>
          <w:sz w:val="30"/>
          <w:szCs w:val="30"/>
          <w:lang w:val="en-US" w:eastAsia="zh-CN"/>
        </w:rPr>
        <w:t>2020</w:t>
      </w:r>
      <w:r>
        <w:rPr>
          <w:rFonts w:hint="eastAsia" w:asciiTheme="minorEastAsia" w:hAnsiTheme="minorEastAsia" w:eastAsiaTheme="minorEastAsia"/>
          <w:color w:val="auto"/>
          <w:sz w:val="32"/>
          <w:szCs w:val="32"/>
        </w:rPr>
        <w:t>年度财政拨款支出</w:t>
      </w:r>
      <w:r>
        <w:rPr>
          <w:rFonts w:hint="eastAsia" w:asciiTheme="minorEastAsia" w:hAnsiTheme="minorEastAsia" w:eastAsiaTheme="minorEastAsia"/>
          <w:color w:val="auto"/>
          <w:sz w:val="32"/>
          <w:szCs w:val="32"/>
          <w:lang w:val="en-US" w:eastAsia="zh-CN"/>
        </w:rPr>
        <w:t>261.86</w:t>
      </w:r>
      <w:r>
        <w:rPr>
          <w:rFonts w:hint="eastAsia" w:asciiTheme="minorEastAsia" w:hAnsiTheme="minorEastAsia" w:eastAsiaTheme="minorEastAsia"/>
          <w:color w:val="auto"/>
          <w:sz w:val="32"/>
          <w:szCs w:val="32"/>
        </w:rPr>
        <w:t>万元，占本年支出合计的</w:t>
      </w:r>
      <w:r>
        <w:rPr>
          <w:rFonts w:hint="eastAsia" w:asciiTheme="minorEastAsia" w:hAnsiTheme="minorEastAsia" w:eastAsiaTheme="minorEastAsia"/>
          <w:color w:val="auto"/>
          <w:sz w:val="32"/>
          <w:szCs w:val="32"/>
          <w:lang w:val="en-US" w:eastAsia="zh-CN"/>
        </w:rPr>
        <w:t>63.72</w:t>
      </w:r>
      <w:r>
        <w:rPr>
          <w:rFonts w:hint="eastAsia" w:asciiTheme="minorEastAsia" w:hAnsiTheme="minorEastAsia" w:eastAsiaTheme="minorEastAsia"/>
          <w:color w:val="auto"/>
          <w:sz w:val="32"/>
          <w:szCs w:val="32"/>
        </w:rPr>
        <w:t>%，与201</w:t>
      </w:r>
      <w:r>
        <w:rPr>
          <w:rFonts w:hint="eastAsia" w:asciiTheme="minorEastAsia" w:hAnsiTheme="minorEastAsia" w:eastAsiaTheme="minorEastAsia"/>
          <w:color w:val="auto"/>
          <w:sz w:val="32"/>
          <w:szCs w:val="32"/>
          <w:lang w:val="en-US" w:eastAsia="zh-CN"/>
        </w:rPr>
        <w:t>9</w:t>
      </w:r>
      <w:r>
        <w:rPr>
          <w:rFonts w:hint="eastAsia" w:asciiTheme="minorEastAsia" w:hAnsiTheme="minorEastAsia" w:eastAsiaTheme="minorEastAsia"/>
          <w:color w:val="auto"/>
          <w:sz w:val="32"/>
          <w:szCs w:val="32"/>
        </w:rPr>
        <w:t>年相比，财政拨款支出</w:t>
      </w:r>
      <w:r>
        <w:rPr>
          <w:rFonts w:hint="eastAsia" w:asciiTheme="minorEastAsia" w:hAnsiTheme="minorEastAsia" w:eastAsiaTheme="minorEastAsia"/>
          <w:color w:val="auto"/>
          <w:sz w:val="32"/>
          <w:szCs w:val="32"/>
          <w:lang w:eastAsia="zh-CN"/>
        </w:rPr>
        <w:t>增加</w:t>
      </w:r>
      <w:r>
        <w:rPr>
          <w:rFonts w:hint="eastAsia" w:asciiTheme="minorEastAsia" w:hAnsiTheme="minorEastAsia" w:eastAsiaTheme="minorEastAsia"/>
          <w:color w:val="auto"/>
          <w:sz w:val="32"/>
          <w:szCs w:val="32"/>
          <w:lang w:val="en-US" w:eastAsia="zh-CN"/>
        </w:rPr>
        <w:t>32.52</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增加</w:t>
      </w:r>
      <w:r>
        <w:rPr>
          <w:rFonts w:hint="eastAsia" w:asciiTheme="minorEastAsia" w:hAnsiTheme="minorEastAsia" w:eastAsiaTheme="minorEastAsia"/>
          <w:color w:val="auto"/>
          <w:sz w:val="32"/>
          <w:szCs w:val="32"/>
          <w:lang w:val="en-US" w:eastAsia="zh-CN"/>
        </w:rPr>
        <w:t>14.18</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，年末财政拨款结转和结余</w:t>
      </w:r>
      <w:r>
        <w:rPr>
          <w:rFonts w:hint="eastAsia" w:asciiTheme="minorEastAsia" w:hAnsiTheme="minorEastAsia" w:eastAsiaTheme="minorEastAsia"/>
          <w:color w:val="auto"/>
          <w:sz w:val="32"/>
          <w:szCs w:val="32"/>
          <w:lang w:val="en-US" w:eastAsia="zh-CN"/>
        </w:rPr>
        <w:t>38.71万元。</w:t>
      </w:r>
    </w:p>
    <w:p>
      <w:pPr>
        <w:pStyle w:val="10"/>
        <w:ind w:firstLine="640"/>
        <w:rPr>
          <w:rFonts w:hAnsi="黑体"/>
          <w:b/>
          <w:sz w:val="32"/>
          <w:szCs w:val="32"/>
        </w:rPr>
      </w:pPr>
      <w:r>
        <w:rPr>
          <w:rFonts w:hint="eastAsia" w:hAnsi="黑体"/>
          <w:b/>
          <w:sz w:val="32"/>
          <w:szCs w:val="32"/>
        </w:rPr>
        <w:t>五、一般公共预算财政拨款支出决算情况说明</w:t>
      </w:r>
    </w:p>
    <w:p>
      <w:pPr>
        <w:pStyle w:val="10"/>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261.86</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63.72</w:t>
      </w:r>
      <w:r>
        <w:rPr>
          <w:rFonts w:hint="eastAsia" w:asciiTheme="minorEastAsia" w:hAnsiTheme="minorEastAsia" w:eastAsiaTheme="minorEastAsia"/>
          <w:sz w:val="32"/>
          <w:szCs w:val="32"/>
        </w:rPr>
        <w:t>%，与上年相比，财政拨款支出增加（</w:t>
      </w:r>
      <w:r>
        <w:rPr>
          <w:rFonts w:hint="eastAsia" w:asciiTheme="minorEastAsia" w:hAnsiTheme="minorEastAsia" w:eastAsiaTheme="minorEastAsia"/>
          <w:sz w:val="32"/>
          <w:szCs w:val="32"/>
          <w:lang w:val="en-US" w:eastAsia="zh-CN"/>
        </w:rPr>
        <w:t>35.52</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14.18</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lang w:val="en-US" w:eastAsia="zh-CN"/>
        </w:rPr>
        <w:t>2020年5月起原在湘龙检测公司的员工全部到质安站发放工资及五险一金、支付基本运转等。</w:t>
      </w:r>
    </w:p>
    <w:p>
      <w:pPr>
        <w:pStyle w:val="10"/>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0"/>
        <w:ind w:firstLine="640" w:firstLineChars="20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sz w:val="32"/>
          <w:szCs w:val="32"/>
        </w:rPr>
        <w:t>2020年度财政拨款支出</w:t>
      </w:r>
      <w:r>
        <w:rPr>
          <w:rFonts w:hint="eastAsia" w:asciiTheme="minorEastAsia" w:hAnsiTheme="minorEastAsia" w:eastAsiaTheme="minorEastAsia"/>
          <w:sz w:val="32"/>
          <w:szCs w:val="32"/>
          <w:lang w:val="en-US" w:eastAsia="zh-CN"/>
        </w:rPr>
        <w:t>261.86</w:t>
      </w:r>
      <w:r>
        <w:rPr>
          <w:rFonts w:hint="eastAsia" w:asciiTheme="minorEastAsia" w:hAnsiTheme="minorEastAsia" w:eastAsiaTheme="minorEastAsia"/>
          <w:sz w:val="32"/>
          <w:szCs w:val="32"/>
        </w:rPr>
        <w:t>万元，主要用于以下方面：</w:t>
      </w:r>
      <w:r>
        <w:rPr>
          <w:rFonts w:hint="eastAsia" w:asciiTheme="minorEastAsia" w:hAnsiTheme="minorEastAsia" w:eastAsiaTheme="minorEastAsia"/>
          <w:color w:val="auto"/>
          <w:sz w:val="32"/>
          <w:szCs w:val="32"/>
          <w:lang w:eastAsia="zh-CN"/>
        </w:rPr>
        <w:t>社会保障和就业支出：</w:t>
      </w:r>
      <w:r>
        <w:rPr>
          <w:rFonts w:hint="eastAsia" w:asciiTheme="minorEastAsia" w:hAnsiTheme="minorEastAsia" w:eastAsiaTheme="minorEastAsia"/>
          <w:color w:val="auto"/>
          <w:sz w:val="32"/>
          <w:szCs w:val="32"/>
          <w:lang w:val="en-US" w:eastAsia="zh-CN"/>
        </w:rPr>
        <w:t>34.22万，占总支出13.07%；卫生健康支出：16.59万，占总支出6.33%；城乡社区支出：211.05万，占总支出80.6%。</w:t>
      </w:r>
    </w:p>
    <w:p>
      <w:pPr>
        <w:pStyle w:val="10"/>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2020年度财政拨款支出年初预算数为</w:t>
      </w:r>
      <w:r>
        <w:rPr>
          <w:rFonts w:hint="eastAsia" w:ascii="仿宋" w:hAnsi="仿宋" w:eastAsia="仿宋" w:cs="仿宋"/>
          <w:sz w:val="30"/>
          <w:szCs w:val="30"/>
          <w:lang w:val="en-US" w:eastAsia="zh-CN"/>
        </w:rPr>
        <w:t>178.76</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261.86</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146.49</w:t>
      </w:r>
      <w:r>
        <w:rPr>
          <w:rFonts w:hint="eastAsia" w:asciiTheme="minorEastAsia" w:hAnsiTheme="minorEastAsia" w:eastAsiaTheme="minorEastAsia"/>
          <w:sz w:val="32"/>
          <w:szCs w:val="32"/>
        </w:rPr>
        <w:t>%，其中：</w:t>
      </w:r>
    </w:p>
    <w:p>
      <w:pPr>
        <w:pStyle w:val="10"/>
        <w:numPr>
          <w:ilvl w:val="0"/>
          <w:numId w:val="1"/>
        </w:numPr>
        <w:ind w:firstLine="800" w:firstLineChars="250"/>
        <w:rPr>
          <w:rFonts w:hint="eastAsia"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eastAsia="zh-CN"/>
        </w:rPr>
        <w:t>社会保障和就业支出（</w:t>
      </w:r>
      <w:r>
        <w:rPr>
          <w:rFonts w:hint="eastAsia" w:asciiTheme="minorEastAsia" w:hAnsiTheme="minorEastAsia" w:eastAsiaTheme="minorEastAsia"/>
          <w:color w:val="auto"/>
          <w:sz w:val="32"/>
          <w:szCs w:val="32"/>
          <w:lang w:val="en-US" w:eastAsia="zh-CN"/>
        </w:rPr>
        <w:t>208）34.22万；其中05</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val="en-US" w:eastAsia="zh-CN"/>
        </w:rPr>
        <w:t>05</w:t>
      </w:r>
      <w:r>
        <w:rPr>
          <w:rFonts w:hint="eastAsia" w:asciiTheme="minorEastAsia" w:hAnsiTheme="minorEastAsia" w:eastAsiaTheme="minorEastAsia"/>
          <w:color w:val="auto"/>
          <w:sz w:val="32"/>
          <w:szCs w:val="32"/>
        </w:rPr>
        <w:t>（项）</w:t>
      </w:r>
      <w:r>
        <w:rPr>
          <w:rFonts w:hint="eastAsia" w:asciiTheme="minorEastAsia" w:hAnsiTheme="minorEastAsia" w:eastAsiaTheme="minorEastAsia"/>
          <w:color w:val="auto"/>
          <w:sz w:val="32"/>
          <w:szCs w:val="32"/>
          <w:lang w:eastAsia="zh-CN"/>
        </w:rPr>
        <w:t>机关事业单位基本养老保险缴费支出</w:t>
      </w:r>
      <w:r>
        <w:rPr>
          <w:rFonts w:hint="eastAsia" w:asciiTheme="minorEastAsia" w:hAnsiTheme="minorEastAsia" w:eastAsiaTheme="minorEastAsia"/>
          <w:color w:val="auto"/>
          <w:sz w:val="32"/>
          <w:szCs w:val="32"/>
          <w:lang w:val="en-US" w:eastAsia="zh-CN"/>
        </w:rPr>
        <w:t>30.66万</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val="en-US" w:eastAsia="zh-CN"/>
        </w:rPr>
        <w:t>2、财政对其他社会保险基金的补助（208）（27）(01）+（02）失业+工伤保险基金补助2.29万；</w:t>
      </w:r>
    </w:p>
    <w:p>
      <w:pPr>
        <w:pStyle w:val="10"/>
        <w:numPr>
          <w:ilvl w:val="0"/>
          <w:numId w:val="1"/>
        </w:numPr>
        <w:ind w:firstLine="800" w:firstLineChars="25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val="en-US" w:eastAsia="zh-CN"/>
        </w:rPr>
        <w:t>卫生健康支出（210）16.59万；其中：11（款）02(项）事业单位医疗14.31万；</w:t>
      </w:r>
    </w:p>
    <w:p>
      <w:pPr>
        <w:pStyle w:val="10"/>
        <w:numPr>
          <w:ilvl w:val="0"/>
          <w:numId w:val="1"/>
        </w:numPr>
        <w:ind w:firstLine="800" w:firstLineChars="250"/>
        <w:rPr>
          <w:rFonts w:hint="default" w:asciiTheme="minorEastAsia" w:hAnsiTheme="minorEastAsia" w:eastAsiaTheme="minorEastAsia"/>
          <w:color w:val="auto"/>
          <w:sz w:val="32"/>
          <w:szCs w:val="32"/>
          <w:lang w:val="en-US" w:eastAsia="zh-CN"/>
        </w:rPr>
      </w:pPr>
      <w:r>
        <w:rPr>
          <w:rFonts w:hint="eastAsia" w:asciiTheme="minorEastAsia" w:hAnsiTheme="minorEastAsia" w:eastAsiaTheme="minorEastAsia"/>
          <w:color w:val="auto"/>
          <w:sz w:val="32"/>
          <w:szCs w:val="32"/>
          <w:lang w:val="en-US" w:eastAsia="zh-CN"/>
        </w:rPr>
        <w:t>城乡社区支出（212）211.05万；基中06（款）01（项）建设市场管理与监督199.05万；01（款）06（项）工程建设管理12万；</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color w:val="auto"/>
          <w:sz w:val="32"/>
          <w:szCs w:val="32"/>
        </w:rPr>
        <w:t>决算数大于年初预算数的主要原因是：</w:t>
      </w:r>
      <w:r>
        <w:rPr>
          <w:rFonts w:hint="eastAsia" w:asciiTheme="minorEastAsia" w:hAnsiTheme="minorEastAsia" w:eastAsiaTheme="minorEastAsia"/>
          <w:sz w:val="32"/>
          <w:szCs w:val="32"/>
          <w:lang w:val="en-US" w:eastAsia="zh-CN"/>
        </w:rPr>
        <w:t>2020年5月起原在湘龙检测公司的员工全部到质安站发放工资及五险一金、支付基本运转等。</w:t>
      </w:r>
    </w:p>
    <w:p>
      <w:pPr>
        <w:pStyle w:val="10"/>
        <w:rPr>
          <w:rFonts w:hAnsi="黑体"/>
          <w:b/>
          <w:sz w:val="32"/>
          <w:szCs w:val="32"/>
        </w:rPr>
      </w:pPr>
      <w:r>
        <w:rPr>
          <w:rFonts w:hint="eastAsia" w:hAnsi="黑体"/>
          <w:b/>
          <w:sz w:val="32"/>
          <w:szCs w:val="32"/>
        </w:rPr>
        <w:t>六、一般公共预算财政拨款基本支出决算情况说明</w:t>
      </w:r>
    </w:p>
    <w:p>
      <w:pPr>
        <w:pStyle w:val="10"/>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2020年度财政拨款基本支出</w:t>
      </w:r>
      <w:r>
        <w:rPr>
          <w:rFonts w:hint="eastAsia" w:asciiTheme="minorEastAsia" w:hAnsiTheme="minorEastAsia" w:eastAsiaTheme="minorEastAsia"/>
          <w:sz w:val="32"/>
          <w:szCs w:val="32"/>
          <w:lang w:val="en-US" w:eastAsia="zh-CN"/>
        </w:rPr>
        <w:t>261.86</w:t>
      </w:r>
      <w:r>
        <w:rPr>
          <w:rFonts w:hint="eastAsia" w:asciiTheme="minorEastAsia" w:hAnsiTheme="minorEastAsia" w:eastAsiaTheme="minorEastAsia"/>
          <w:sz w:val="32"/>
          <w:szCs w:val="32"/>
        </w:rPr>
        <w:t>万元，其中：人员经费</w:t>
      </w:r>
      <w:r>
        <w:rPr>
          <w:rFonts w:hint="eastAsia" w:asciiTheme="minorEastAsia" w:hAnsiTheme="minorEastAsia" w:eastAsiaTheme="minorEastAsia"/>
          <w:sz w:val="32"/>
          <w:szCs w:val="32"/>
          <w:lang w:val="en-US" w:eastAsia="zh-CN"/>
        </w:rPr>
        <w:t>248.47</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94.89</w:t>
      </w:r>
      <w:r>
        <w:rPr>
          <w:rFonts w:hint="eastAsia" w:asciiTheme="minorEastAsia" w:hAnsiTheme="minorEastAsia" w:eastAsiaTheme="minorEastAsia"/>
          <w:sz w:val="32"/>
          <w:szCs w:val="32"/>
        </w:rPr>
        <w:t>%,主要包括基本工资、津贴补贴、奖金、</w:t>
      </w:r>
      <w:r>
        <w:rPr>
          <w:rFonts w:hint="eastAsia" w:asciiTheme="minorEastAsia" w:hAnsiTheme="minorEastAsia" w:eastAsiaTheme="minorEastAsia"/>
          <w:sz w:val="32"/>
          <w:szCs w:val="32"/>
          <w:lang w:eastAsia="zh-CN"/>
        </w:rPr>
        <w:t>社保等</w:t>
      </w:r>
      <w:r>
        <w:rPr>
          <w:rFonts w:hint="eastAsia" w:asciiTheme="minorEastAsia" w:hAnsiTheme="minorEastAsia" w:eastAsiaTheme="minorEastAsia"/>
          <w:sz w:val="32"/>
          <w:szCs w:val="32"/>
        </w:rPr>
        <w:t>；公用经费</w:t>
      </w:r>
      <w:r>
        <w:rPr>
          <w:rFonts w:hint="eastAsia" w:asciiTheme="minorEastAsia" w:hAnsiTheme="minorEastAsia" w:eastAsiaTheme="minorEastAsia"/>
          <w:sz w:val="32"/>
          <w:szCs w:val="32"/>
          <w:lang w:val="en-US" w:eastAsia="zh-CN"/>
        </w:rPr>
        <w:t>13.39</w:t>
      </w:r>
      <w:r>
        <w:rPr>
          <w:rFonts w:hint="eastAsia" w:asciiTheme="minorEastAsia" w:hAnsiTheme="minorEastAsia" w:eastAsiaTheme="minorEastAsia"/>
          <w:sz w:val="32"/>
          <w:szCs w:val="32"/>
        </w:rPr>
        <w:t>万元，占基本支出的</w:t>
      </w:r>
      <w:r>
        <w:rPr>
          <w:rFonts w:hint="eastAsia" w:asciiTheme="minorEastAsia" w:hAnsiTheme="minorEastAsia" w:eastAsiaTheme="minorEastAsia"/>
          <w:sz w:val="32"/>
          <w:szCs w:val="32"/>
          <w:lang w:val="en-US" w:eastAsia="zh-CN"/>
        </w:rPr>
        <w:t>5.11</w:t>
      </w:r>
      <w:r>
        <w:rPr>
          <w:rFonts w:hint="eastAsia" w:asciiTheme="minorEastAsia" w:hAnsiTheme="minorEastAsia" w:eastAsiaTheme="minorEastAsia"/>
          <w:sz w:val="32"/>
          <w:szCs w:val="32"/>
        </w:rPr>
        <w:t>%，主要包括办公费、印刷费、</w:t>
      </w:r>
      <w:r>
        <w:rPr>
          <w:rFonts w:hint="eastAsia" w:asciiTheme="minorEastAsia" w:hAnsiTheme="minorEastAsia" w:eastAsiaTheme="minorEastAsia"/>
          <w:sz w:val="32"/>
          <w:szCs w:val="32"/>
          <w:lang w:eastAsia="zh-CN"/>
        </w:rPr>
        <w:t>水电费、工会费、差旅费等</w:t>
      </w:r>
    </w:p>
    <w:p>
      <w:pPr>
        <w:pStyle w:val="10"/>
        <w:rPr>
          <w:rFonts w:hAnsi="黑体"/>
          <w:b/>
          <w:sz w:val="32"/>
          <w:szCs w:val="32"/>
        </w:rPr>
      </w:pPr>
      <w:r>
        <w:rPr>
          <w:rFonts w:hint="eastAsia" w:hAnsi="黑体"/>
          <w:b/>
          <w:sz w:val="32"/>
          <w:szCs w:val="32"/>
        </w:rPr>
        <w:t>七、一般公共预算财政拨款三公经费支出决算情况说明</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0"/>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“三公”经费财政拨款支出预算为</w:t>
      </w:r>
      <w:r>
        <w:rPr>
          <w:rFonts w:hint="eastAsia" w:asciiTheme="minorEastAsia" w:hAnsiTheme="minorEastAsia" w:eastAsiaTheme="minorEastAsia"/>
          <w:sz w:val="32"/>
          <w:szCs w:val="32"/>
          <w:lang w:val="en-US" w:eastAsia="zh-CN"/>
        </w:rPr>
        <w:t>4.5</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%，其中：</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因公出国（境）费支出预算为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万元，完成预算的</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公务接待费支出预算为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万元，完成预算的</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w:t>
      </w:r>
    </w:p>
    <w:p>
      <w:pPr>
        <w:pStyle w:val="10"/>
        <w:ind w:firstLine="640" w:firstLineChars="200"/>
        <w:rPr>
          <w:rFonts w:asciiTheme="minorEastAsia" w:hAnsiTheme="minorEastAsia" w:eastAsiaTheme="minorEastAsia"/>
          <w:sz w:val="32"/>
          <w:szCs w:val="32"/>
        </w:rPr>
      </w:pPr>
      <w:r>
        <w:rPr>
          <w:rFonts w:hint="eastAsia" w:asciiTheme="minorEastAsia" w:hAnsiTheme="minorEastAsia" w:eastAsiaTheme="minorEastAsia"/>
          <w:color w:val="auto"/>
          <w:sz w:val="32"/>
          <w:szCs w:val="32"/>
        </w:rPr>
        <w:t>公务用车购置费及运行维护费支出预算为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万元，完成预算的</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w:t>
      </w:r>
    </w:p>
    <w:p>
      <w:pPr>
        <w:pStyle w:val="1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0"/>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20</w:t>
      </w:r>
      <w:r>
        <w:rPr>
          <w:rFonts w:hint="eastAsia" w:asciiTheme="minorEastAsia" w:hAnsiTheme="minorEastAsia" w:eastAsiaTheme="minorEastAsia"/>
          <w:color w:val="auto"/>
          <w:sz w:val="32"/>
          <w:szCs w:val="32"/>
          <w:lang w:val="en-US" w:eastAsia="zh-CN"/>
        </w:rPr>
        <w:t>20</w:t>
      </w:r>
      <w:r>
        <w:rPr>
          <w:rFonts w:hint="eastAsia" w:asciiTheme="minorEastAsia" w:hAnsiTheme="minorEastAsia" w:eastAsiaTheme="minorEastAsia"/>
          <w:color w:val="auto"/>
          <w:sz w:val="32"/>
          <w:szCs w:val="32"/>
        </w:rPr>
        <w:t>年度“三公”经费财政拨款支出决算中，公务接待费支出决算</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%,因公出国（境）费支出决算</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%,公务用车购置费及运行维护费支出决算</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万元，占</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%。其中：</w:t>
      </w:r>
    </w:p>
    <w:p>
      <w:pPr>
        <w:pStyle w:val="1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1、因公出国（境）费支出决算为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万元，全年安排因公出国（境）团组</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个，累计</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人次</w:t>
      </w:r>
      <w:r>
        <w:rPr>
          <w:rFonts w:hint="eastAsia" w:asciiTheme="minorEastAsia" w:hAnsiTheme="minorEastAsia" w:eastAsiaTheme="minorEastAsia"/>
          <w:color w:val="auto"/>
          <w:sz w:val="32"/>
          <w:szCs w:val="32"/>
          <w:lang w:eastAsia="zh-CN"/>
        </w:rPr>
        <w:t>。</w:t>
      </w:r>
    </w:p>
    <w:p>
      <w:pPr>
        <w:pStyle w:val="10"/>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2、公务接待费支出决算为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w:t>
      </w:r>
    </w:p>
    <w:p>
      <w:pPr>
        <w:ind w:firstLine="800" w:firstLineChars="250"/>
        <w:rPr>
          <w:rFonts w:hint="default" w:cs="黑体" w:asciiTheme="minorEastAsia" w:hAnsiTheme="minorEastAsia" w:eastAsiaTheme="minorEastAsia"/>
          <w:color w:val="auto"/>
          <w:kern w:val="0"/>
          <w:sz w:val="32"/>
          <w:szCs w:val="32"/>
          <w:lang w:val="en-US" w:eastAsia="zh-CN"/>
        </w:rPr>
      </w:pPr>
      <w:r>
        <w:rPr>
          <w:rFonts w:hint="eastAsia" w:asciiTheme="minorEastAsia" w:hAnsiTheme="minorEastAsia"/>
          <w:color w:val="auto"/>
          <w:sz w:val="32"/>
          <w:szCs w:val="32"/>
        </w:rPr>
        <w:t>3、公务用车购置费及运行维护费支出决算为</w:t>
      </w:r>
      <w:r>
        <w:rPr>
          <w:rFonts w:hint="eastAsia" w:asciiTheme="minorEastAsia" w:hAnsiTheme="minorEastAsia"/>
          <w:color w:val="auto"/>
          <w:sz w:val="32"/>
          <w:szCs w:val="32"/>
          <w:lang w:val="en-US" w:eastAsia="zh-CN"/>
        </w:rPr>
        <w:t>0</w:t>
      </w:r>
      <w:r>
        <w:rPr>
          <w:rFonts w:hint="eastAsia" w:asciiTheme="minorEastAsia" w:hAnsiTheme="minorEastAsia"/>
          <w:color w:val="auto"/>
          <w:sz w:val="32"/>
          <w:szCs w:val="32"/>
        </w:rPr>
        <w:t>万元</w:t>
      </w:r>
      <w:r>
        <w:rPr>
          <w:rFonts w:hint="eastAsia" w:asciiTheme="minorEastAsia" w:hAnsiTheme="minorEastAsia"/>
          <w:color w:val="auto"/>
          <w:sz w:val="32"/>
          <w:szCs w:val="32"/>
          <w:lang w:val="en-US" w:eastAsia="zh-CN"/>
        </w:rPr>
        <w:t>.</w:t>
      </w:r>
    </w:p>
    <w:p>
      <w:pPr>
        <w:pStyle w:val="10"/>
        <w:rPr>
          <w:rFonts w:hint="eastAsia" w:hAnsi="黑体"/>
          <w:b/>
          <w:sz w:val="32"/>
          <w:szCs w:val="32"/>
        </w:rPr>
      </w:pPr>
      <w:r>
        <w:rPr>
          <w:rFonts w:hint="eastAsia" w:hAnsi="黑体"/>
          <w:b/>
          <w:sz w:val="32"/>
          <w:szCs w:val="32"/>
        </w:rPr>
        <w:t>八、政府性基金预算收入支出决算情况</w:t>
      </w:r>
    </w:p>
    <w:p>
      <w:pPr>
        <w:pStyle w:val="10"/>
        <w:rPr>
          <w:rFonts w:hint="eastAsia" w:asciiTheme="minorEastAsia" w:hAnsiTheme="minorEastAsia" w:eastAsiaTheme="minorEastAsia"/>
          <w:i/>
          <w:color w:val="auto"/>
          <w:sz w:val="32"/>
          <w:szCs w:val="32"/>
          <w:lang w:eastAsia="zh-CN"/>
        </w:rPr>
      </w:pPr>
      <w:r>
        <w:rPr>
          <w:rFonts w:hint="eastAsia" w:asciiTheme="minorEastAsia" w:hAnsiTheme="minorEastAsia" w:eastAsiaTheme="minorEastAsia"/>
          <w:color w:val="auto"/>
          <w:sz w:val="32"/>
          <w:szCs w:val="32"/>
        </w:rPr>
        <w:t xml:space="preserve"> </w:t>
      </w:r>
      <w:r>
        <w:rPr>
          <w:rFonts w:hint="eastAsia" w:asciiTheme="minorEastAsia" w:hAnsiTheme="minorEastAsia" w:eastAsiaTheme="minorEastAsia"/>
          <w:color w:val="auto"/>
          <w:sz w:val="32"/>
          <w:szCs w:val="32"/>
          <w:lang w:val="en-US" w:eastAsia="zh-CN"/>
        </w:rPr>
        <w:t xml:space="preserve">   </w:t>
      </w:r>
      <w:r>
        <w:rPr>
          <w:rFonts w:hint="eastAsia" w:asciiTheme="minorEastAsia" w:hAnsiTheme="minorEastAsia" w:eastAsiaTheme="minorEastAsia"/>
          <w:color w:val="auto"/>
          <w:sz w:val="32"/>
          <w:szCs w:val="32"/>
        </w:rPr>
        <w:t>20</w:t>
      </w:r>
      <w:r>
        <w:rPr>
          <w:rFonts w:hint="eastAsia" w:asciiTheme="minorEastAsia" w:hAnsiTheme="minorEastAsia" w:eastAsiaTheme="minorEastAsia"/>
          <w:color w:val="auto"/>
          <w:sz w:val="32"/>
          <w:szCs w:val="32"/>
          <w:lang w:val="en-US" w:eastAsia="zh-CN"/>
        </w:rPr>
        <w:t>20</w:t>
      </w:r>
      <w:r>
        <w:rPr>
          <w:rFonts w:hint="eastAsia" w:asciiTheme="minorEastAsia" w:hAnsiTheme="minorEastAsia" w:eastAsiaTheme="minorEastAsia"/>
          <w:color w:val="auto"/>
          <w:sz w:val="32"/>
          <w:szCs w:val="32"/>
        </w:rPr>
        <w:t>年度政府性基金预算财政拨款收入</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万元；年初结转和结余</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万元，其中基本支出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万元，项目支出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万元；年末结转和结余</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w:t>
      </w:r>
      <w:r>
        <w:rPr>
          <w:rFonts w:hint="eastAsia" w:asciiTheme="minorEastAsia" w:hAnsiTheme="minorEastAsia" w:eastAsiaTheme="minorEastAsia"/>
          <w:color w:val="auto"/>
          <w:sz w:val="32"/>
          <w:szCs w:val="32"/>
          <w:lang w:eastAsia="zh-CN"/>
        </w:rPr>
        <w:t>说明：</w:t>
      </w:r>
      <w:r>
        <w:rPr>
          <w:rFonts w:hint="eastAsia" w:asciiTheme="minorEastAsia" w:hAnsiTheme="minorEastAsia" w:eastAsiaTheme="minorEastAsia"/>
          <w:color w:val="auto"/>
          <w:sz w:val="32"/>
          <w:szCs w:val="32"/>
        </w:rPr>
        <w:t>本单位无政府性基金收支</w:t>
      </w:r>
      <w:r>
        <w:rPr>
          <w:rFonts w:hint="eastAsia" w:asciiTheme="minorEastAsia" w:hAnsiTheme="minorEastAsia" w:eastAsiaTheme="minorEastAsia"/>
          <w:color w:val="auto"/>
          <w:sz w:val="32"/>
          <w:szCs w:val="32"/>
          <w:lang w:eastAsia="zh-CN"/>
        </w:rPr>
        <w:t>。</w:t>
      </w:r>
    </w:p>
    <w:p>
      <w:pPr>
        <w:widowControl/>
        <w:spacing w:line="600" w:lineRule="exact"/>
        <w:jc w:val="left"/>
        <w:rPr>
          <w:rFonts w:hint="eastAsia" w:ascii="黑体" w:hAnsi="黑体" w:eastAsia="黑体" w:cs="黑体"/>
          <w:b/>
          <w:color w:val="000000"/>
          <w:kern w:val="0"/>
          <w:sz w:val="32"/>
          <w:szCs w:val="32"/>
          <w:lang w:val="en-US" w:eastAsia="zh-CN" w:bidi="ar-SA"/>
        </w:rPr>
      </w:pPr>
      <w:r>
        <w:rPr>
          <w:rFonts w:hint="eastAsia" w:ascii="黑体" w:hAnsi="黑体" w:eastAsia="黑体" w:cs="黑体"/>
          <w:b/>
          <w:color w:val="000000"/>
          <w:kern w:val="0"/>
          <w:sz w:val="32"/>
          <w:szCs w:val="32"/>
          <w:lang w:val="en-US" w:eastAsia="zh-CN" w:bidi="ar-SA"/>
        </w:rPr>
        <w:t xml:space="preserve"> 九、关于机关运行经费支出说明</w:t>
      </w:r>
    </w:p>
    <w:p>
      <w:pPr>
        <w:pStyle w:val="10"/>
        <w:ind w:firstLine="640" w:firstLineChars="200"/>
        <w:rPr>
          <w:rFonts w:hint="eastAsia" w:cs="黑体" w:asciiTheme="minorEastAsia" w:hAnsiTheme="minorEastAsia" w:eastAsiaTheme="minorEastAsia"/>
          <w:color w:val="auto"/>
          <w:kern w:val="0"/>
          <w:sz w:val="32"/>
          <w:szCs w:val="32"/>
          <w:lang w:val="en-US" w:eastAsia="zh-CN" w:bidi="ar-SA"/>
        </w:rPr>
      </w:pPr>
      <w:r>
        <w:rPr>
          <w:rFonts w:hint="eastAsia" w:cs="黑体" w:asciiTheme="minorEastAsia" w:hAnsiTheme="minorEastAsia" w:eastAsiaTheme="minorEastAsia"/>
          <w:color w:val="auto"/>
          <w:kern w:val="0"/>
          <w:sz w:val="32"/>
          <w:szCs w:val="32"/>
          <w:lang w:val="en-US" w:eastAsia="zh-CN" w:bidi="ar-SA"/>
        </w:rPr>
        <w:t>本部门2020年度机关运行经费支出261.86万元，比年初预算数增加83.1万元，增长46.49%。主要原因是：2020年人员工资、住房公积金、社会保障费等</w:t>
      </w:r>
    </w:p>
    <w:p>
      <w:pPr>
        <w:widowControl/>
        <w:spacing w:line="600" w:lineRule="exact"/>
        <w:jc w:val="left"/>
        <w:rPr>
          <w:rFonts w:hint="eastAsia" w:ascii="黑体" w:hAnsi="黑体" w:eastAsia="黑体" w:cs="黑体"/>
          <w:b/>
          <w:color w:val="000000"/>
          <w:kern w:val="0"/>
          <w:sz w:val="32"/>
          <w:szCs w:val="32"/>
          <w:lang w:val="en-US" w:eastAsia="zh-CN" w:bidi="ar-SA"/>
        </w:rPr>
      </w:pPr>
      <w:r>
        <w:rPr>
          <w:rFonts w:hint="eastAsia" w:ascii="黑体" w:hAnsi="黑体" w:eastAsia="黑体" w:cs="黑体"/>
          <w:b/>
          <w:color w:val="000000"/>
          <w:kern w:val="0"/>
          <w:sz w:val="32"/>
          <w:szCs w:val="32"/>
          <w:lang w:val="en-US" w:eastAsia="zh-CN" w:bidi="ar-SA"/>
        </w:rPr>
        <w:t>十、一般性支出情况</w:t>
      </w:r>
    </w:p>
    <w:p>
      <w:pPr>
        <w:ind w:firstLine="640" w:firstLineChars="200"/>
        <w:rPr>
          <w:rFonts w:hint="eastAsia" w:cs="黑体" w:asciiTheme="minorEastAsia" w:hAnsiTheme="minorEastAsia"/>
          <w:color w:val="auto"/>
          <w:kern w:val="0"/>
          <w:sz w:val="32"/>
          <w:szCs w:val="32"/>
        </w:rPr>
      </w:pPr>
      <w:r>
        <w:rPr>
          <w:rFonts w:hint="eastAsia" w:cs="黑体" w:asciiTheme="minorEastAsia" w:hAnsiTheme="minorEastAsia"/>
          <w:color w:val="auto"/>
          <w:kern w:val="0"/>
          <w:sz w:val="32"/>
          <w:szCs w:val="32"/>
        </w:rPr>
        <w:t>20</w:t>
      </w:r>
      <w:r>
        <w:rPr>
          <w:rFonts w:hint="eastAsia" w:cs="黑体" w:asciiTheme="minorEastAsia" w:hAnsiTheme="minorEastAsia"/>
          <w:color w:val="auto"/>
          <w:kern w:val="0"/>
          <w:sz w:val="32"/>
          <w:szCs w:val="32"/>
          <w:lang w:val="en-US" w:eastAsia="zh-CN"/>
        </w:rPr>
        <w:t>20</w:t>
      </w:r>
      <w:r>
        <w:rPr>
          <w:rFonts w:hint="eastAsia" w:cs="黑体" w:asciiTheme="minorEastAsia" w:hAnsiTheme="minorEastAsia"/>
          <w:color w:val="auto"/>
          <w:kern w:val="0"/>
          <w:sz w:val="32"/>
          <w:szCs w:val="32"/>
        </w:rPr>
        <w:t>年本部门开支会开支培训费</w:t>
      </w:r>
      <w:r>
        <w:rPr>
          <w:rFonts w:hint="eastAsia" w:cs="黑体" w:asciiTheme="minorEastAsia" w:hAnsiTheme="minorEastAsia"/>
          <w:color w:val="auto"/>
          <w:kern w:val="0"/>
          <w:sz w:val="32"/>
          <w:szCs w:val="32"/>
          <w:lang w:val="en-US" w:eastAsia="zh-CN"/>
        </w:rPr>
        <w:t>1.03</w:t>
      </w:r>
      <w:r>
        <w:rPr>
          <w:rFonts w:hint="eastAsia" w:cs="黑体" w:asciiTheme="minorEastAsia" w:hAnsiTheme="minorEastAsia"/>
          <w:color w:val="auto"/>
          <w:kern w:val="0"/>
          <w:sz w:val="32"/>
          <w:szCs w:val="32"/>
        </w:rPr>
        <w:t>万元，用于开展</w:t>
      </w:r>
      <w:r>
        <w:rPr>
          <w:rFonts w:hint="eastAsia" w:cs="黑体" w:asciiTheme="minorEastAsia" w:hAnsiTheme="minorEastAsia"/>
          <w:color w:val="auto"/>
          <w:kern w:val="0"/>
          <w:sz w:val="32"/>
          <w:szCs w:val="32"/>
          <w:lang w:eastAsia="zh-CN"/>
        </w:rPr>
        <w:t>质量安全消防及全市性安全生产</w:t>
      </w:r>
      <w:r>
        <w:rPr>
          <w:rFonts w:hint="eastAsia" w:cs="黑体" w:asciiTheme="minorEastAsia" w:hAnsiTheme="minorEastAsia"/>
          <w:color w:val="auto"/>
          <w:kern w:val="0"/>
          <w:sz w:val="32"/>
          <w:szCs w:val="32"/>
        </w:rPr>
        <w:t>培训，人数</w:t>
      </w:r>
      <w:r>
        <w:rPr>
          <w:rFonts w:hint="eastAsia" w:cs="黑体" w:asciiTheme="minorEastAsia" w:hAnsiTheme="minorEastAsia"/>
          <w:color w:val="auto"/>
          <w:kern w:val="0"/>
          <w:sz w:val="32"/>
          <w:szCs w:val="32"/>
          <w:lang w:val="en-US" w:eastAsia="zh-CN"/>
        </w:rPr>
        <w:t>150</w:t>
      </w:r>
      <w:r>
        <w:rPr>
          <w:rFonts w:hint="eastAsia" w:cs="黑体" w:asciiTheme="minorEastAsia" w:hAnsiTheme="minorEastAsia"/>
          <w:color w:val="auto"/>
          <w:kern w:val="0"/>
          <w:sz w:val="32"/>
          <w:szCs w:val="32"/>
        </w:rPr>
        <w:t>人，内容</w:t>
      </w:r>
      <w:r>
        <w:rPr>
          <w:rFonts w:hint="eastAsia" w:cs="黑体" w:asciiTheme="minorEastAsia" w:hAnsiTheme="minorEastAsia"/>
          <w:color w:val="auto"/>
          <w:kern w:val="0"/>
          <w:sz w:val="32"/>
          <w:szCs w:val="32"/>
          <w:lang w:eastAsia="zh-CN"/>
        </w:rPr>
        <w:t>质量安全、消防安全等培训。</w:t>
      </w:r>
    </w:p>
    <w:p>
      <w:pPr>
        <w:widowControl/>
        <w:spacing w:line="600" w:lineRule="exact"/>
        <w:jc w:val="left"/>
        <w:rPr>
          <w:rFonts w:hint="eastAsia" w:ascii="黑体" w:hAnsi="黑体" w:eastAsia="黑体" w:cs="黑体"/>
          <w:b/>
          <w:color w:val="000000"/>
          <w:kern w:val="0"/>
          <w:sz w:val="32"/>
          <w:szCs w:val="32"/>
          <w:lang w:val="en-US" w:eastAsia="zh-CN" w:bidi="ar-SA"/>
        </w:rPr>
      </w:pPr>
      <w:r>
        <w:rPr>
          <w:rFonts w:hint="eastAsia" w:ascii="黑体" w:hAnsi="黑体" w:eastAsia="黑体" w:cs="黑体"/>
          <w:b/>
          <w:color w:val="000000"/>
          <w:kern w:val="0"/>
          <w:sz w:val="32"/>
          <w:szCs w:val="32"/>
          <w:lang w:val="en-US" w:eastAsia="zh-CN" w:bidi="ar-SA"/>
        </w:rPr>
        <w:t>十一、政府采购支出情况</w:t>
      </w:r>
    </w:p>
    <w:p>
      <w:pPr>
        <w:ind w:firstLine="640" w:firstLineChars="200"/>
        <w:rPr>
          <w:rFonts w:cs="黑体" w:asciiTheme="minorEastAsia" w:hAnsiTheme="minorEastAsia"/>
          <w:i/>
          <w:color w:val="auto"/>
          <w:kern w:val="0"/>
          <w:sz w:val="32"/>
          <w:szCs w:val="32"/>
        </w:rPr>
      </w:pPr>
      <w:r>
        <w:rPr>
          <w:rFonts w:hint="eastAsia" w:cs="黑体" w:asciiTheme="minorEastAsia" w:hAnsiTheme="minorEastAsia"/>
          <w:color w:val="auto"/>
          <w:kern w:val="0"/>
          <w:sz w:val="32"/>
          <w:szCs w:val="32"/>
        </w:rPr>
        <w:t>本部门20</w:t>
      </w:r>
      <w:r>
        <w:rPr>
          <w:rFonts w:hint="eastAsia" w:cs="黑体" w:asciiTheme="minorEastAsia" w:hAnsiTheme="minorEastAsia"/>
          <w:color w:val="auto"/>
          <w:kern w:val="0"/>
          <w:sz w:val="32"/>
          <w:szCs w:val="32"/>
          <w:lang w:val="en-US" w:eastAsia="zh-CN"/>
        </w:rPr>
        <w:t>20</w:t>
      </w:r>
      <w:r>
        <w:rPr>
          <w:rFonts w:hint="eastAsia" w:cs="黑体" w:asciiTheme="minorEastAsia" w:hAnsiTheme="minorEastAsia"/>
          <w:color w:val="auto"/>
          <w:kern w:val="0"/>
          <w:sz w:val="32"/>
          <w:szCs w:val="32"/>
        </w:rPr>
        <w:t>年度政府采购支出总额</w:t>
      </w:r>
      <w:r>
        <w:rPr>
          <w:rFonts w:hint="eastAsia" w:cs="黑体" w:asciiTheme="minorEastAsia" w:hAnsiTheme="minorEastAsia"/>
          <w:color w:val="auto"/>
          <w:kern w:val="0"/>
          <w:sz w:val="32"/>
          <w:szCs w:val="32"/>
          <w:lang w:val="en-US" w:eastAsia="zh-CN"/>
        </w:rPr>
        <w:t>4.68</w:t>
      </w:r>
      <w:r>
        <w:rPr>
          <w:rFonts w:hint="eastAsia" w:cs="黑体" w:asciiTheme="minorEastAsia" w:hAnsiTheme="minorEastAsia"/>
          <w:color w:val="auto"/>
          <w:kern w:val="0"/>
          <w:sz w:val="32"/>
          <w:szCs w:val="32"/>
        </w:rPr>
        <w:t>万元，其中：政府采购货物支出</w:t>
      </w:r>
      <w:r>
        <w:rPr>
          <w:rFonts w:hint="eastAsia" w:cs="黑体" w:asciiTheme="minorEastAsia" w:hAnsiTheme="minorEastAsia"/>
          <w:color w:val="auto"/>
          <w:kern w:val="0"/>
          <w:sz w:val="32"/>
          <w:szCs w:val="32"/>
          <w:lang w:val="en-US" w:eastAsia="zh-CN"/>
        </w:rPr>
        <w:t>4.68</w:t>
      </w:r>
      <w:r>
        <w:rPr>
          <w:rFonts w:hint="eastAsia" w:cs="黑体" w:asciiTheme="minorEastAsia" w:hAnsiTheme="minorEastAsia"/>
          <w:color w:val="auto"/>
          <w:kern w:val="0"/>
          <w:sz w:val="32"/>
          <w:szCs w:val="32"/>
        </w:rPr>
        <w:t>万元</w:t>
      </w:r>
      <w:r>
        <w:rPr>
          <w:rFonts w:hint="eastAsia" w:cs="黑体" w:asciiTheme="minorEastAsia" w:hAnsiTheme="minorEastAsia"/>
          <w:color w:val="auto"/>
          <w:kern w:val="0"/>
          <w:sz w:val="32"/>
          <w:szCs w:val="32"/>
          <w:lang w:eastAsia="zh-CN"/>
        </w:rPr>
        <w:t>，</w:t>
      </w:r>
      <w:r>
        <w:rPr>
          <w:rFonts w:hint="eastAsia" w:cs="黑体" w:asciiTheme="minorEastAsia" w:hAnsiTheme="minorEastAsia"/>
          <w:color w:val="auto"/>
          <w:kern w:val="0"/>
          <w:sz w:val="32"/>
          <w:szCs w:val="32"/>
        </w:rPr>
        <w:t>占政府采购支出总额的</w:t>
      </w:r>
      <w:r>
        <w:rPr>
          <w:rFonts w:hint="eastAsia" w:cs="黑体" w:asciiTheme="minorEastAsia" w:hAnsiTheme="minorEastAsia"/>
          <w:color w:val="auto"/>
          <w:kern w:val="0"/>
          <w:sz w:val="32"/>
          <w:szCs w:val="32"/>
          <w:lang w:val="en-US" w:eastAsia="zh-CN"/>
        </w:rPr>
        <w:t>100</w:t>
      </w:r>
      <w:r>
        <w:rPr>
          <w:rFonts w:hint="eastAsia" w:cs="黑体" w:asciiTheme="minorEastAsia" w:hAnsiTheme="minorEastAsia"/>
          <w:color w:val="auto"/>
          <w:kern w:val="0"/>
          <w:sz w:val="32"/>
          <w:szCs w:val="32"/>
        </w:rPr>
        <w:t>%。</w:t>
      </w:r>
    </w:p>
    <w:p>
      <w:pPr>
        <w:widowControl/>
        <w:spacing w:line="600" w:lineRule="exact"/>
        <w:jc w:val="left"/>
        <w:rPr>
          <w:rFonts w:hint="eastAsia" w:ascii="黑体" w:hAnsi="黑体" w:eastAsia="黑体" w:cs="黑体"/>
          <w:b/>
          <w:color w:val="000000"/>
          <w:kern w:val="0"/>
          <w:sz w:val="32"/>
          <w:szCs w:val="32"/>
          <w:lang w:val="en-US" w:eastAsia="zh-CN" w:bidi="ar-SA"/>
        </w:rPr>
      </w:pPr>
      <w:r>
        <w:rPr>
          <w:rFonts w:hint="eastAsia" w:ascii="黑体" w:hAnsi="黑体" w:eastAsia="黑体" w:cs="黑体"/>
          <w:b/>
          <w:color w:val="000000"/>
          <w:kern w:val="0"/>
          <w:sz w:val="32"/>
          <w:szCs w:val="32"/>
          <w:lang w:val="en-US" w:eastAsia="zh-CN" w:bidi="ar-SA"/>
        </w:rPr>
        <w:t>十二、国有资产占用情况</w:t>
      </w:r>
    </w:p>
    <w:p>
      <w:pPr>
        <w:pStyle w:val="10"/>
        <w:ind w:firstLine="320" w:firstLineChars="100"/>
        <w:rPr>
          <w:rFonts w:hint="eastAsia" w:cs="黑体" w:asciiTheme="minorEastAsia" w:hAnsiTheme="minorEastAsia" w:eastAsiaTheme="minorEastAsia"/>
          <w:color w:val="auto"/>
          <w:kern w:val="0"/>
          <w:sz w:val="32"/>
          <w:szCs w:val="32"/>
          <w:lang w:val="en-US" w:eastAsia="zh-CN" w:bidi="ar-SA"/>
        </w:rPr>
      </w:pPr>
      <w:r>
        <w:rPr>
          <w:rFonts w:hint="eastAsia" w:cs="黑体" w:asciiTheme="minorEastAsia" w:hAnsiTheme="minorEastAsia" w:eastAsiaTheme="minorEastAsia"/>
          <w:color w:val="auto"/>
          <w:kern w:val="0"/>
          <w:sz w:val="32"/>
          <w:szCs w:val="32"/>
          <w:lang w:val="en-US" w:eastAsia="zh-CN" w:bidi="ar-SA"/>
        </w:rPr>
        <w:t>截至2020年12月31日，本单位共有车辆0辆。</w:t>
      </w:r>
    </w:p>
    <w:p>
      <w:pPr>
        <w:pStyle w:val="10"/>
        <w:rPr>
          <w:rFonts w:hAnsi="黑体"/>
          <w:b/>
          <w:sz w:val="32"/>
          <w:szCs w:val="32"/>
        </w:rPr>
      </w:pPr>
      <w:r>
        <w:rPr>
          <w:rFonts w:hint="eastAsia" w:hAnsi="黑体"/>
          <w:b/>
          <w:sz w:val="32"/>
          <w:szCs w:val="32"/>
        </w:rPr>
        <w:t>十三、关于2020年度预算绩效情况的说明</w:t>
      </w:r>
    </w:p>
    <w:p>
      <w:pPr>
        <w:pStyle w:val="10"/>
        <w:ind w:firstLine="320" w:firstLineChars="100"/>
        <w:rPr>
          <w:rFonts w:hAnsi="黑体"/>
          <w:b/>
          <w:sz w:val="32"/>
          <w:szCs w:val="32"/>
        </w:rPr>
      </w:pPr>
      <w:r>
        <w:rPr>
          <w:rFonts w:hint="eastAsia" w:asciiTheme="minorEastAsia" w:hAnsiTheme="minorEastAsia" w:eastAsiaTheme="minorEastAsia"/>
          <w:sz w:val="32"/>
          <w:szCs w:val="32"/>
        </w:rPr>
        <w:t>本系统秉持“编制有目标，执行有监控、完成有评价、评价有反馈、反馈有运用”全过程预算绩效管理模式的要求，对绩效管理的职责、目标、指标、绩效预算编制、绩效预算执行、绩效预算评价、绩效预算监督、绩效评价结果应用等方面做出了明确的规定，整体预算绩效管理工作取得了一定的成效。2020年整体支出绩效目标全部完成，整体评价为良好。</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cs="黑体" w:asciiTheme="minorEastAsia" w:hAnsiTheme="minorEastAsia"/>
          <w:color w:val="000000"/>
          <w:kern w:val="0"/>
          <w:sz w:val="32"/>
          <w:szCs w:val="32"/>
        </w:rPr>
      </w:pPr>
    </w:p>
    <w:p>
      <w:pPr>
        <w:widowControl/>
        <w:jc w:val="left"/>
        <w:rPr>
          <w:rFonts w:eastAsia="黑体" w:cs="黑体" w:asciiTheme="minorEastAsia" w:hAnsiTheme="minorEastAsia"/>
          <w:color w:val="000000"/>
          <w:kern w:val="0"/>
          <w:sz w:val="28"/>
          <w:szCs w:val="32"/>
        </w:rPr>
      </w:pPr>
    </w:p>
    <w:p>
      <w:pPr>
        <w:widowControl/>
        <w:ind w:firstLine="600" w:firstLineChars="200"/>
        <w:jc w:val="left"/>
        <w:rPr>
          <w:rFonts w:hint="eastAsia" w:ascii="宋体" w:hAnsi="宋体"/>
          <w:color w:val="auto"/>
          <w:sz w:val="30"/>
          <w:szCs w:val="30"/>
        </w:rPr>
      </w:pPr>
      <w:r>
        <w:rPr>
          <w:rFonts w:ascii="宋体" w:hAnsi="宋体"/>
          <w:color w:val="auto"/>
          <w:sz w:val="30"/>
          <w:szCs w:val="30"/>
        </w:rPr>
        <w:t>一、机关运行经费：为保障行政单位（包括参照公务员法管理的事业单位）运行，用一般公共预算拨款安排用于购买货物和服务的各项资金，包括办公及印刷费、邮电费、差旅费、会议费、福利费、日常维修费、办公用房水电费、办公用房取暖费、办公用房物业管理费、公务用车运行维护费以及其他费用。</w:t>
      </w:r>
      <w:r>
        <w:rPr>
          <w:rFonts w:ascii="宋体" w:hAnsi="宋体"/>
          <w:color w:val="auto"/>
          <w:sz w:val="30"/>
          <w:szCs w:val="30"/>
        </w:rPr>
        <w:br w:type="textWrapping"/>
      </w:r>
      <w:r>
        <w:rPr>
          <w:rFonts w:hint="eastAsia" w:ascii="宋体" w:hAnsi="宋体"/>
          <w:color w:val="auto"/>
          <w:sz w:val="30"/>
          <w:szCs w:val="30"/>
          <w:lang w:val="en-US" w:eastAsia="zh-CN"/>
        </w:rPr>
        <w:t xml:space="preserve">    </w:t>
      </w:r>
      <w:r>
        <w:rPr>
          <w:rFonts w:ascii="宋体" w:hAnsi="宋体"/>
          <w:color w:val="auto"/>
          <w:sz w:val="30"/>
          <w:szCs w:val="30"/>
        </w:rPr>
        <w:t>二、“三公”经费：纳入省财政预算管理的“三公“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保险费等支出；因公出国（境）费反映单位公务出国（境）的国际旅费、国外城市间交通费、食宿费</w:t>
      </w:r>
      <w:r>
        <w:rPr>
          <w:rFonts w:hint="eastAsia" w:ascii="宋体" w:hAnsi="宋体"/>
          <w:color w:val="auto"/>
          <w:sz w:val="30"/>
          <w:szCs w:val="30"/>
        </w:rPr>
        <w:t>。</w:t>
      </w: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p>
    <w:p>
      <w:pPr>
        <w:pStyle w:val="10"/>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left"/>
        <w:rPr>
          <w:rFonts w:hint="eastAsia" w:ascii="方正小标宋简体" w:hAnsi="方正小标宋简体" w:eastAsia="方正小标宋简体" w:cs="方正小标宋简体"/>
          <w:b/>
          <w:color w:val="auto"/>
          <w:kern w:val="0"/>
          <w:sz w:val="28"/>
          <w:szCs w:val="28"/>
          <w:lang w:val="en-US" w:eastAsia="zh-CN"/>
        </w:rPr>
      </w:pPr>
      <w:r>
        <w:rPr>
          <w:rFonts w:hint="eastAsia" w:ascii="方正小标宋简体" w:hAnsi="方正小标宋简体" w:eastAsia="方正小标宋简体" w:cs="方正小标宋简体"/>
          <w:b/>
          <w:color w:val="auto"/>
          <w:kern w:val="0"/>
          <w:sz w:val="28"/>
          <w:szCs w:val="28"/>
          <w:lang w:val="en-US" w:eastAsia="zh-CN"/>
        </w:rPr>
        <w:t>附件：</w:t>
      </w:r>
    </w:p>
    <w:p>
      <w:pPr>
        <w:jc w:val="center"/>
        <w:rPr>
          <w:rFonts w:hint="eastAsia" w:ascii="方正小标宋简体" w:hAnsi="方正小标宋简体" w:eastAsia="方正小标宋简体" w:cs="方正小标宋简体"/>
          <w:b/>
          <w:color w:val="auto"/>
          <w:kern w:val="0"/>
          <w:sz w:val="48"/>
          <w:szCs w:val="48"/>
          <w:lang w:eastAsia="zh-CN"/>
        </w:rPr>
      </w:pPr>
      <w:r>
        <w:rPr>
          <w:rFonts w:hint="eastAsia" w:ascii="方正小标宋简体" w:hAnsi="方正小标宋简体" w:eastAsia="方正小标宋简体" w:cs="方正小标宋简体"/>
          <w:b/>
          <w:color w:val="auto"/>
          <w:kern w:val="0"/>
          <w:sz w:val="48"/>
          <w:szCs w:val="48"/>
        </w:rPr>
        <w:t>20</w:t>
      </w:r>
      <w:r>
        <w:rPr>
          <w:rFonts w:hint="eastAsia" w:ascii="方正小标宋简体" w:hAnsi="方正小标宋简体" w:eastAsia="方正小标宋简体" w:cs="方正小标宋简体"/>
          <w:b/>
          <w:color w:val="auto"/>
          <w:kern w:val="0"/>
          <w:sz w:val="48"/>
          <w:szCs w:val="48"/>
          <w:lang w:val="en-US" w:eastAsia="zh-CN"/>
        </w:rPr>
        <w:t>20</w:t>
      </w:r>
      <w:r>
        <w:rPr>
          <w:rFonts w:hint="eastAsia" w:ascii="方正小标宋简体" w:hAnsi="方正小标宋简体" w:eastAsia="方正小标宋简体" w:cs="方正小标宋简体"/>
          <w:b/>
          <w:color w:val="auto"/>
          <w:kern w:val="0"/>
          <w:sz w:val="48"/>
          <w:szCs w:val="48"/>
        </w:rPr>
        <w:t>年度部门整体支出绩效评价</w:t>
      </w:r>
      <w:r>
        <w:rPr>
          <w:rFonts w:hint="eastAsia" w:ascii="方正小标宋简体" w:hAnsi="方正小标宋简体" w:eastAsia="方正小标宋简体" w:cs="方正小标宋简体"/>
          <w:b/>
          <w:color w:val="auto"/>
          <w:kern w:val="0"/>
          <w:sz w:val="48"/>
          <w:szCs w:val="48"/>
          <w:lang w:eastAsia="zh-CN"/>
        </w:rPr>
        <w:t>自评</w:t>
      </w:r>
    </w:p>
    <w:p>
      <w:pPr>
        <w:jc w:val="center"/>
        <w:rPr>
          <w:rFonts w:hint="eastAsia" w:ascii="方正小标宋简体" w:hAnsi="方正小标宋简体" w:eastAsia="方正小标宋简体" w:cs="方正小标宋简体"/>
          <w:b/>
          <w:color w:val="auto"/>
          <w:kern w:val="0"/>
          <w:sz w:val="48"/>
          <w:szCs w:val="48"/>
        </w:rPr>
      </w:pPr>
      <w:r>
        <w:rPr>
          <w:rFonts w:hint="eastAsia" w:ascii="方正小标宋简体" w:hAnsi="方正小标宋简体" w:eastAsia="方正小标宋简体" w:cs="方正小标宋简体"/>
          <w:b/>
          <w:color w:val="auto"/>
          <w:kern w:val="0"/>
          <w:sz w:val="48"/>
          <w:szCs w:val="48"/>
        </w:rPr>
        <w:t>报</w:t>
      </w:r>
      <w:r>
        <w:rPr>
          <w:rFonts w:hint="eastAsia" w:ascii="方正小标宋简体" w:hAnsi="方正小标宋简体" w:eastAsia="方正小标宋简体" w:cs="方正小标宋简体"/>
          <w:b/>
          <w:color w:val="auto"/>
          <w:kern w:val="0"/>
          <w:sz w:val="48"/>
          <w:szCs w:val="48"/>
          <w:lang w:val="en-US" w:eastAsia="zh-CN"/>
        </w:rPr>
        <w:t xml:space="preserve"> </w:t>
      </w:r>
      <w:r>
        <w:rPr>
          <w:rFonts w:hint="eastAsia" w:ascii="方正小标宋简体" w:hAnsi="方正小标宋简体" w:eastAsia="方正小标宋简体" w:cs="方正小标宋简体"/>
          <w:b/>
          <w:color w:val="auto"/>
          <w:kern w:val="0"/>
          <w:sz w:val="48"/>
          <w:szCs w:val="48"/>
        </w:rPr>
        <w:t>告</w:t>
      </w:r>
    </w:p>
    <w:p>
      <w:pPr>
        <w:spacing w:line="600" w:lineRule="exact"/>
        <w:ind w:right="641" w:firstLine="640" w:firstLineChars="200"/>
        <w:rPr>
          <w:rFonts w:hint="eastAsia" w:ascii="方正小标宋简体" w:hAnsi="方正小标宋简体" w:eastAsia="方正小标宋简体" w:cs="方正小标宋简体"/>
          <w:b/>
          <w:bCs/>
          <w:color w:val="auto"/>
          <w:sz w:val="32"/>
          <w:szCs w:val="32"/>
        </w:rPr>
      </w:pPr>
      <w:r>
        <w:rPr>
          <w:rFonts w:hint="eastAsia" w:ascii="方正小标宋简体" w:hAnsi="方正小标宋简体" w:eastAsia="方正小标宋简体" w:cs="方正小标宋简体"/>
          <w:b/>
          <w:bCs/>
          <w:color w:val="auto"/>
          <w:sz w:val="32"/>
          <w:szCs w:val="32"/>
        </w:rPr>
        <w:t>一、部门概况</w:t>
      </w:r>
    </w:p>
    <w:p>
      <w:pPr>
        <w:spacing w:line="600" w:lineRule="exact"/>
        <w:ind w:right="641" w:firstLine="600" w:firstLineChars="200"/>
        <w:rPr>
          <w:rFonts w:ascii="仿宋" w:hAnsi="仿宋" w:eastAsia="仿宋" w:cs="仿宋"/>
          <w:color w:val="auto"/>
          <w:sz w:val="30"/>
          <w:szCs w:val="30"/>
        </w:rPr>
      </w:pPr>
      <w:r>
        <w:rPr>
          <w:rFonts w:hint="eastAsia" w:ascii="仿宋" w:hAnsi="仿宋" w:eastAsia="仿宋" w:cs="仿宋"/>
          <w:color w:val="auto"/>
          <w:sz w:val="30"/>
          <w:szCs w:val="30"/>
        </w:rPr>
        <w:t>湘乡市建设工程质量安全监督站主要执行贯彻落实执行国家有关建设工程质量安全法律、法规，工程强制性标准；负责全市新建房屋建筑建设及市政基础设施工程建设的质量安全监督工作，接受房屋建筑工程竣工验收备案，负责施工企业安全生产评价、考核工作；负责对在建工程检测、试验行为监督管理，受理房屋建筑工程质量投诉、建筑施工安全投诉，负责全市建设工程监理机构资质管理及业务指导；负责全市建设工程检测试验机构业务管理；负责商品砼及预制构件生产企业监督管理工作，负责城区、经济开发区、城北先导区建设工地围墙内的现场文明施工和全市竣工工程评优、在建工程达标验收工作的监督；负责全市在建工程项目起重机械设备监管工作。</w:t>
      </w:r>
    </w:p>
    <w:p>
      <w:pPr>
        <w:widowControl/>
        <w:numPr>
          <w:ilvl w:val="0"/>
          <w:numId w:val="0"/>
        </w:numPr>
        <w:spacing w:line="600" w:lineRule="exact"/>
        <w:ind w:left="640" w:leftChars="0"/>
        <w:jc w:val="left"/>
        <w:rPr>
          <w:rFonts w:ascii="仿宋" w:hAnsi="仿宋" w:eastAsia="仿宋" w:cs="宋体"/>
          <w:b/>
          <w:bCs/>
          <w:color w:val="auto"/>
          <w:sz w:val="30"/>
          <w:szCs w:val="30"/>
        </w:rPr>
      </w:pPr>
      <w:r>
        <w:rPr>
          <w:rFonts w:hint="eastAsia" w:ascii="仿宋" w:hAnsi="仿宋" w:eastAsia="仿宋" w:cs="宋体"/>
          <w:b/>
          <w:bCs/>
          <w:color w:val="auto"/>
          <w:sz w:val="30"/>
          <w:szCs w:val="30"/>
          <w:lang w:eastAsia="zh-CN"/>
        </w:rPr>
        <w:t>（一）</w:t>
      </w:r>
      <w:r>
        <w:rPr>
          <w:rFonts w:hint="eastAsia" w:ascii="仿宋" w:hAnsi="仿宋" w:eastAsia="仿宋" w:cs="宋体"/>
          <w:b/>
          <w:bCs/>
          <w:color w:val="auto"/>
          <w:sz w:val="30"/>
          <w:szCs w:val="30"/>
        </w:rPr>
        <w:t>机构设置</w:t>
      </w:r>
    </w:p>
    <w:p>
      <w:pPr>
        <w:widowControl/>
        <w:spacing w:line="600" w:lineRule="exact"/>
        <w:ind w:firstLine="600" w:firstLineChars="200"/>
        <w:jc w:val="left"/>
        <w:rPr>
          <w:rFonts w:ascii="仿宋" w:hAnsi="仿宋" w:eastAsia="仿宋" w:cs="仿宋"/>
          <w:color w:val="auto"/>
          <w:sz w:val="30"/>
          <w:szCs w:val="30"/>
        </w:rPr>
      </w:pPr>
      <w:r>
        <w:rPr>
          <w:rFonts w:hint="eastAsia" w:ascii="仿宋" w:hAnsi="仿宋" w:eastAsia="仿宋" w:cs="仿宋"/>
          <w:color w:val="auto"/>
          <w:sz w:val="30"/>
          <w:szCs w:val="30"/>
        </w:rPr>
        <w:t>内设机构：综合办公室，质量投诉办公室，监督一组，监督二组，</w:t>
      </w:r>
      <w:r>
        <w:rPr>
          <w:rFonts w:hint="eastAsia" w:ascii="仿宋" w:hAnsi="仿宋" w:eastAsia="仿宋" w:cs="仿宋"/>
          <w:color w:val="auto"/>
          <w:sz w:val="30"/>
          <w:szCs w:val="30"/>
          <w:lang w:eastAsia="zh-CN"/>
        </w:rPr>
        <w:t>起重机械管理</w:t>
      </w:r>
      <w:r>
        <w:rPr>
          <w:rFonts w:hint="eastAsia" w:ascii="仿宋" w:hAnsi="仿宋" w:eastAsia="仿宋" w:cs="仿宋"/>
          <w:color w:val="auto"/>
          <w:sz w:val="30"/>
          <w:szCs w:val="30"/>
        </w:rPr>
        <w:t>办公室，</w:t>
      </w:r>
      <w:r>
        <w:rPr>
          <w:rFonts w:hint="eastAsia" w:ascii="仿宋" w:hAnsi="仿宋" w:eastAsia="仿宋" w:cs="仿宋"/>
          <w:color w:val="auto"/>
          <w:sz w:val="30"/>
          <w:szCs w:val="30"/>
          <w:lang w:eastAsia="zh-CN"/>
        </w:rPr>
        <w:t>消防验收组</w:t>
      </w:r>
      <w:r>
        <w:rPr>
          <w:rFonts w:hint="eastAsia" w:ascii="仿宋" w:hAnsi="仿宋" w:eastAsia="仿宋" w:cs="仿宋"/>
          <w:color w:val="auto"/>
          <w:sz w:val="30"/>
          <w:szCs w:val="30"/>
        </w:rPr>
        <w:t>等。</w:t>
      </w:r>
    </w:p>
    <w:p>
      <w:pPr>
        <w:widowControl/>
        <w:numPr>
          <w:ilvl w:val="0"/>
          <w:numId w:val="0"/>
        </w:numPr>
        <w:spacing w:line="600" w:lineRule="exact"/>
        <w:ind w:firstLine="600" w:firstLineChars="200"/>
        <w:jc w:val="left"/>
        <w:rPr>
          <w:rFonts w:hint="eastAsia" w:ascii="仿宋" w:hAnsi="仿宋" w:eastAsia="仿宋" w:cs="宋体"/>
          <w:b/>
          <w:bCs/>
          <w:color w:val="auto"/>
          <w:sz w:val="30"/>
          <w:szCs w:val="30"/>
        </w:rPr>
      </w:pPr>
      <w:r>
        <w:rPr>
          <w:rFonts w:hint="eastAsia" w:ascii="仿宋" w:hAnsi="仿宋" w:eastAsia="仿宋" w:cs="宋体"/>
          <w:b/>
          <w:bCs/>
          <w:color w:val="auto"/>
          <w:sz w:val="30"/>
          <w:szCs w:val="30"/>
          <w:lang w:val="en-US" w:eastAsia="zh-CN"/>
        </w:rPr>
        <w:t>（二）</w:t>
      </w:r>
      <w:r>
        <w:rPr>
          <w:rFonts w:hint="eastAsia" w:ascii="仿宋" w:hAnsi="仿宋" w:eastAsia="仿宋" w:cs="宋体"/>
          <w:b/>
          <w:bCs/>
          <w:color w:val="auto"/>
          <w:sz w:val="30"/>
          <w:szCs w:val="30"/>
        </w:rPr>
        <w:t>部门预算单位构成</w:t>
      </w:r>
    </w:p>
    <w:p>
      <w:pPr>
        <w:widowControl/>
        <w:spacing w:line="600" w:lineRule="exact"/>
        <w:ind w:firstLine="900" w:firstLineChars="300"/>
        <w:rPr>
          <w:rFonts w:ascii="仿宋" w:hAnsi="仿宋" w:eastAsia="仿宋" w:cs="仿宋"/>
          <w:color w:val="auto"/>
          <w:sz w:val="30"/>
          <w:szCs w:val="30"/>
        </w:rPr>
      </w:pPr>
      <w:r>
        <w:rPr>
          <w:rFonts w:hint="eastAsia" w:ascii="仿宋" w:hAnsi="仿宋" w:eastAsia="仿宋" w:cs="仿宋"/>
          <w:color w:val="auto"/>
          <w:sz w:val="30"/>
          <w:szCs w:val="30"/>
        </w:rPr>
        <w:t>湘乡市建设工程质量安全监督站是下辖于湘乡市住房和城乡建设局的二级机构，只有本级，没有其他二级预算单位，因此，纳入20</w:t>
      </w:r>
      <w:r>
        <w:rPr>
          <w:rFonts w:hint="eastAsia" w:ascii="仿宋" w:hAnsi="仿宋" w:eastAsia="仿宋" w:cs="仿宋"/>
          <w:color w:val="auto"/>
          <w:sz w:val="30"/>
          <w:szCs w:val="30"/>
          <w:lang w:val="en-US" w:eastAsia="zh-CN"/>
        </w:rPr>
        <w:t>20</w:t>
      </w:r>
      <w:r>
        <w:rPr>
          <w:rFonts w:hint="eastAsia" w:ascii="仿宋" w:hAnsi="仿宋" w:eastAsia="仿宋" w:cs="仿宋"/>
          <w:color w:val="auto"/>
          <w:sz w:val="30"/>
          <w:szCs w:val="30"/>
        </w:rPr>
        <w:t>年部门预算编制范围的只有质安站本级。</w:t>
      </w:r>
    </w:p>
    <w:p>
      <w:pPr>
        <w:widowControl/>
        <w:spacing w:line="600" w:lineRule="exact"/>
        <w:ind w:firstLine="588" w:firstLineChars="196"/>
        <w:rPr>
          <w:rFonts w:ascii="仿宋" w:hAnsi="仿宋" w:eastAsia="仿宋" w:cs="仿宋"/>
          <w:color w:val="auto"/>
          <w:sz w:val="30"/>
          <w:szCs w:val="30"/>
        </w:rPr>
      </w:pPr>
      <w:r>
        <w:rPr>
          <w:rFonts w:hint="eastAsia" w:ascii="仿宋" w:hAnsi="仿宋" w:eastAsia="仿宋" w:cs="仿宋"/>
          <w:color w:val="auto"/>
          <w:sz w:val="30"/>
          <w:szCs w:val="30"/>
        </w:rPr>
        <w:t>本单位在职人员</w:t>
      </w:r>
      <w:r>
        <w:rPr>
          <w:rFonts w:hint="eastAsia" w:ascii="仿宋" w:hAnsi="仿宋" w:eastAsia="仿宋" w:cs="仿宋"/>
          <w:color w:val="auto"/>
          <w:sz w:val="30"/>
          <w:szCs w:val="30"/>
          <w:lang w:val="en-US" w:eastAsia="zh-CN"/>
        </w:rPr>
        <w:t>37</w:t>
      </w:r>
      <w:r>
        <w:rPr>
          <w:rFonts w:hint="eastAsia" w:ascii="仿宋" w:hAnsi="仿宋" w:eastAsia="仿宋" w:cs="仿宋"/>
          <w:color w:val="auto"/>
          <w:sz w:val="30"/>
          <w:szCs w:val="30"/>
        </w:rPr>
        <w:t>人，离退休人员4人。本单位无公车，本单位拥有国有资产</w:t>
      </w:r>
      <w:r>
        <w:rPr>
          <w:rFonts w:hint="eastAsia" w:ascii="仿宋" w:hAnsi="仿宋" w:eastAsia="仿宋" w:cs="仿宋"/>
          <w:color w:val="auto"/>
          <w:sz w:val="30"/>
          <w:szCs w:val="30"/>
          <w:lang w:val="en-US" w:eastAsia="zh-CN"/>
        </w:rPr>
        <w:t>85.62</w:t>
      </w:r>
      <w:r>
        <w:rPr>
          <w:rFonts w:hint="eastAsia" w:ascii="仿宋" w:hAnsi="仿宋" w:eastAsia="仿宋" w:cs="仿宋"/>
          <w:color w:val="auto"/>
          <w:sz w:val="30"/>
          <w:szCs w:val="30"/>
        </w:rPr>
        <w:t>万元。</w:t>
      </w:r>
    </w:p>
    <w:p>
      <w:pPr>
        <w:spacing w:line="600" w:lineRule="exact"/>
        <w:ind w:right="641" w:firstLine="640" w:firstLineChars="200"/>
        <w:rPr>
          <w:rFonts w:hint="eastAsia" w:ascii="方正小标宋简体" w:hAnsi="方正小标宋简体" w:eastAsia="方正小标宋简体" w:cs="方正小标宋简体"/>
          <w:b/>
          <w:bCs/>
          <w:color w:val="auto"/>
          <w:sz w:val="32"/>
          <w:szCs w:val="32"/>
        </w:rPr>
      </w:pPr>
      <w:r>
        <w:rPr>
          <w:rFonts w:hint="eastAsia" w:ascii="方正小标宋简体" w:hAnsi="方正小标宋简体" w:eastAsia="方正小标宋简体" w:cs="方正小标宋简体"/>
          <w:b/>
          <w:bCs/>
          <w:color w:val="auto"/>
          <w:sz w:val="32"/>
          <w:szCs w:val="32"/>
        </w:rPr>
        <w:t>二、部门整体支出管理及使用情况</w:t>
      </w:r>
    </w:p>
    <w:p>
      <w:pPr>
        <w:snapToGrid w:val="0"/>
        <w:spacing w:line="600" w:lineRule="exact"/>
        <w:ind w:firstLine="600" w:firstLineChars="200"/>
        <w:rPr>
          <w:rFonts w:ascii="仿宋" w:hAnsi="仿宋" w:eastAsia="仿宋"/>
          <w:b/>
          <w:color w:val="auto"/>
          <w:sz w:val="30"/>
          <w:szCs w:val="30"/>
        </w:rPr>
      </w:pPr>
      <w:r>
        <w:rPr>
          <w:rFonts w:ascii="仿宋" w:hAnsi="仿宋" w:eastAsia="仿宋"/>
          <w:b/>
          <w:color w:val="auto"/>
          <w:sz w:val="30"/>
          <w:szCs w:val="30"/>
        </w:rPr>
        <w:t>（一）预算情况</w:t>
      </w:r>
    </w:p>
    <w:p>
      <w:pPr>
        <w:snapToGrid w:val="0"/>
        <w:spacing w:line="600" w:lineRule="exact"/>
        <w:ind w:firstLine="600" w:firstLineChars="200"/>
        <w:rPr>
          <w:rFonts w:ascii="仿宋" w:hAnsi="仿宋" w:eastAsia="仿宋"/>
          <w:color w:val="auto"/>
          <w:sz w:val="30"/>
          <w:szCs w:val="30"/>
        </w:rPr>
      </w:pPr>
      <w:r>
        <w:rPr>
          <w:rFonts w:ascii="仿宋" w:hAnsi="仿宋" w:eastAsia="仿宋"/>
          <w:color w:val="auto"/>
          <w:sz w:val="30"/>
          <w:szCs w:val="30"/>
        </w:rPr>
        <w:t>1、年初预算情况</w:t>
      </w:r>
      <w:r>
        <w:rPr>
          <w:rFonts w:hint="eastAsia" w:ascii="仿宋" w:hAnsi="仿宋" w:eastAsia="仿宋"/>
          <w:color w:val="auto"/>
          <w:sz w:val="30"/>
          <w:szCs w:val="30"/>
        </w:rPr>
        <w:t>：我站年初预算为</w:t>
      </w:r>
      <w:r>
        <w:rPr>
          <w:rFonts w:hint="eastAsia" w:ascii="仿宋" w:hAnsi="仿宋" w:eastAsia="仿宋"/>
          <w:color w:val="auto"/>
          <w:sz w:val="30"/>
          <w:szCs w:val="30"/>
          <w:lang w:val="en-US" w:eastAsia="zh-CN"/>
        </w:rPr>
        <w:t>368.76</w:t>
      </w:r>
      <w:r>
        <w:rPr>
          <w:rFonts w:hint="eastAsia" w:ascii="仿宋" w:hAnsi="仿宋" w:eastAsia="仿宋"/>
          <w:color w:val="auto"/>
          <w:sz w:val="30"/>
          <w:szCs w:val="30"/>
        </w:rPr>
        <w:t>万元，含基本工资、基本支出、养老保险、医疗保险等支出。</w:t>
      </w:r>
    </w:p>
    <w:p>
      <w:pPr>
        <w:widowControl/>
        <w:spacing w:line="600" w:lineRule="exact"/>
        <w:ind w:firstLine="600" w:firstLineChars="200"/>
        <w:jc w:val="left"/>
        <w:rPr>
          <w:rFonts w:hint="eastAsia" w:ascii="仿宋" w:hAnsi="仿宋" w:eastAsia="仿宋" w:cs="仿宋"/>
          <w:sz w:val="30"/>
          <w:szCs w:val="30"/>
        </w:rPr>
      </w:pPr>
      <w:r>
        <w:rPr>
          <w:rFonts w:ascii="仿宋" w:hAnsi="仿宋" w:eastAsia="仿宋"/>
          <w:color w:val="auto"/>
          <w:sz w:val="30"/>
          <w:szCs w:val="30"/>
        </w:rPr>
        <w:t>2、全年总预算情况</w:t>
      </w:r>
      <w:r>
        <w:rPr>
          <w:rFonts w:hint="eastAsia" w:ascii="仿宋" w:hAnsi="仿宋" w:eastAsia="仿宋"/>
          <w:color w:val="auto"/>
          <w:sz w:val="30"/>
          <w:szCs w:val="30"/>
        </w:rPr>
        <w:t>：20</w:t>
      </w:r>
      <w:r>
        <w:rPr>
          <w:rFonts w:hint="eastAsia" w:ascii="仿宋" w:hAnsi="仿宋" w:eastAsia="仿宋"/>
          <w:color w:val="auto"/>
          <w:sz w:val="30"/>
          <w:szCs w:val="30"/>
          <w:lang w:val="en-US" w:eastAsia="zh-CN"/>
        </w:rPr>
        <w:t>20</w:t>
      </w:r>
      <w:r>
        <w:rPr>
          <w:rFonts w:hint="eastAsia" w:ascii="仿宋" w:hAnsi="仿宋" w:eastAsia="仿宋"/>
          <w:color w:val="auto"/>
          <w:sz w:val="30"/>
          <w:szCs w:val="30"/>
        </w:rPr>
        <w:t>年质安站总预算</w:t>
      </w:r>
      <w:r>
        <w:rPr>
          <w:rFonts w:hint="eastAsia" w:ascii="仿宋" w:hAnsi="仿宋" w:eastAsia="仿宋"/>
          <w:color w:val="auto"/>
          <w:sz w:val="30"/>
          <w:szCs w:val="30"/>
          <w:lang w:val="en-US" w:eastAsia="zh-CN"/>
        </w:rPr>
        <w:t>368.76</w:t>
      </w:r>
      <w:r>
        <w:rPr>
          <w:rFonts w:hint="eastAsia" w:ascii="仿宋" w:hAnsi="仿宋" w:eastAsia="仿宋"/>
          <w:color w:val="auto"/>
          <w:sz w:val="30"/>
          <w:szCs w:val="30"/>
        </w:rPr>
        <w:t>万元；</w:t>
      </w:r>
      <w:r>
        <w:rPr>
          <w:rFonts w:hint="eastAsia" w:ascii="仿宋" w:hAnsi="仿宋" w:eastAsia="仿宋" w:cs="仿宋"/>
          <w:sz w:val="30"/>
          <w:szCs w:val="30"/>
        </w:rPr>
        <w:t>其中，一般公共预算拨款</w:t>
      </w:r>
      <w:r>
        <w:rPr>
          <w:rFonts w:hint="eastAsia" w:ascii="仿宋" w:hAnsi="仿宋" w:eastAsia="仿宋" w:cs="仿宋"/>
          <w:sz w:val="30"/>
          <w:szCs w:val="30"/>
          <w:lang w:val="en-US" w:eastAsia="zh-CN"/>
        </w:rPr>
        <w:t>178.76</w:t>
      </w:r>
      <w:r>
        <w:rPr>
          <w:rFonts w:hint="eastAsia" w:ascii="仿宋" w:hAnsi="仿宋" w:eastAsia="仿宋" w:cs="仿宋"/>
          <w:sz w:val="30"/>
          <w:szCs w:val="30"/>
        </w:rPr>
        <w:t>万元，</w:t>
      </w:r>
      <w:r>
        <w:rPr>
          <w:rFonts w:hint="eastAsia" w:ascii="仿宋" w:hAnsi="仿宋" w:eastAsia="仿宋" w:cs="仿宋"/>
          <w:sz w:val="30"/>
          <w:szCs w:val="30"/>
          <w:lang w:eastAsia="zh-CN"/>
        </w:rPr>
        <w:t>未</w:t>
      </w:r>
      <w:r>
        <w:rPr>
          <w:rFonts w:hint="eastAsia" w:ascii="仿宋" w:hAnsi="仿宋" w:eastAsia="仿宋" w:cs="仿宋"/>
          <w:sz w:val="30"/>
          <w:szCs w:val="30"/>
        </w:rPr>
        <w:t>纳入专户管理的非税收入</w:t>
      </w:r>
      <w:r>
        <w:rPr>
          <w:rFonts w:hint="eastAsia" w:ascii="仿宋" w:hAnsi="仿宋" w:eastAsia="仿宋" w:cs="仿宋"/>
          <w:sz w:val="30"/>
          <w:szCs w:val="30"/>
          <w:lang w:val="en-US" w:eastAsia="zh-CN"/>
        </w:rPr>
        <w:t>190</w:t>
      </w:r>
      <w:r>
        <w:rPr>
          <w:rFonts w:hint="eastAsia" w:ascii="仿宋" w:hAnsi="仿宋" w:eastAsia="仿宋" w:cs="仿宋"/>
          <w:sz w:val="30"/>
          <w:szCs w:val="30"/>
        </w:rPr>
        <w:t>万元</w:t>
      </w:r>
      <w:r>
        <w:rPr>
          <w:rFonts w:hint="eastAsia" w:ascii="仿宋" w:hAnsi="仿宋" w:eastAsia="仿宋" w:cs="仿宋"/>
          <w:sz w:val="30"/>
          <w:szCs w:val="30"/>
          <w:lang w:val="en-US" w:eastAsia="zh-CN"/>
        </w:rPr>
        <w:t>。</w:t>
      </w:r>
      <w:r>
        <w:rPr>
          <w:rFonts w:hint="eastAsia" w:ascii="仿宋" w:hAnsi="仿宋" w:eastAsia="仿宋" w:cs="仿宋"/>
          <w:sz w:val="30"/>
          <w:szCs w:val="30"/>
        </w:rPr>
        <w:t>收入较去年增加</w:t>
      </w:r>
      <w:r>
        <w:rPr>
          <w:rFonts w:hint="eastAsia" w:ascii="仿宋" w:hAnsi="仿宋" w:eastAsia="仿宋" w:cs="仿宋"/>
          <w:sz w:val="30"/>
          <w:szCs w:val="30"/>
          <w:lang w:val="en-US" w:eastAsia="zh-CN"/>
        </w:rPr>
        <w:t>37.80</w:t>
      </w:r>
      <w:r>
        <w:rPr>
          <w:rFonts w:hint="eastAsia" w:ascii="仿宋" w:hAnsi="仿宋" w:eastAsia="仿宋" w:cs="仿宋"/>
          <w:sz w:val="30"/>
          <w:szCs w:val="30"/>
        </w:rPr>
        <w:t xml:space="preserve"> 万元，主要是</w:t>
      </w:r>
      <w:r>
        <w:rPr>
          <w:rFonts w:hint="eastAsia" w:ascii="仿宋" w:hAnsi="仿宋" w:eastAsia="仿宋" w:cs="仿宋"/>
          <w:sz w:val="30"/>
          <w:szCs w:val="30"/>
          <w:lang w:eastAsia="zh-CN"/>
        </w:rPr>
        <w:t>一般公共预算拔款增加</w:t>
      </w:r>
      <w:r>
        <w:rPr>
          <w:rFonts w:hint="eastAsia" w:ascii="仿宋" w:hAnsi="仿宋" w:eastAsia="仿宋" w:cs="仿宋"/>
          <w:sz w:val="30"/>
          <w:szCs w:val="30"/>
          <w:lang w:val="en-US" w:eastAsia="zh-CN"/>
        </w:rPr>
        <w:t>24.8万元、未纳入专户管理的非税收入增加13万元。</w:t>
      </w:r>
    </w:p>
    <w:p>
      <w:pPr>
        <w:snapToGrid w:val="0"/>
        <w:spacing w:line="600" w:lineRule="exact"/>
        <w:ind w:firstLine="300" w:firstLineChars="100"/>
        <w:rPr>
          <w:rFonts w:ascii="仿宋" w:hAnsi="仿宋" w:eastAsia="仿宋"/>
          <w:b/>
          <w:color w:val="auto"/>
          <w:sz w:val="30"/>
          <w:szCs w:val="30"/>
        </w:rPr>
      </w:pPr>
      <w:r>
        <w:rPr>
          <w:rFonts w:ascii="仿宋" w:hAnsi="仿宋" w:eastAsia="仿宋"/>
          <w:b/>
          <w:color w:val="auto"/>
          <w:sz w:val="30"/>
          <w:szCs w:val="30"/>
        </w:rPr>
        <w:t>（二）预算执行情况</w:t>
      </w:r>
    </w:p>
    <w:p>
      <w:pPr>
        <w:snapToGrid w:val="0"/>
        <w:spacing w:line="600" w:lineRule="exact"/>
        <w:ind w:firstLine="600" w:firstLineChars="200"/>
        <w:rPr>
          <w:rFonts w:ascii="仿宋" w:hAnsi="仿宋" w:eastAsia="仿宋"/>
          <w:color w:val="auto"/>
          <w:sz w:val="30"/>
          <w:szCs w:val="30"/>
        </w:rPr>
      </w:pPr>
      <w:r>
        <w:rPr>
          <w:rFonts w:ascii="仿宋" w:hAnsi="仿宋" w:eastAsia="仿宋"/>
          <w:color w:val="auto"/>
          <w:sz w:val="30"/>
          <w:szCs w:val="30"/>
        </w:rPr>
        <w:t>1、基本支出执行情况</w:t>
      </w:r>
      <w:r>
        <w:rPr>
          <w:rFonts w:hint="eastAsia" w:ascii="仿宋" w:hAnsi="仿宋" w:eastAsia="仿宋"/>
          <w:color w:val="auto"/>
          <w:sz w:val="30"/>
          <w:szCs w:val="30"/>
        </w:rPr>
        <w:t>：20</w:t>
      </w:r>
      <w:r>
        <w:rPr>
          <w:rFonts w:hint="eastAsia" w:ascii="仿宋" w:hAnsi="仿宋" w:eastAsia="仿宋"/>
          <w:color w:val="auto"/>
          <w:sz w:val="30"/>
          <w:szCs w:val="30"/>
          <w:lang w:val="en-US" w:eastAsia="zh-CN"/>
        </w:rPr>
        <w:t>20</w:t>
      </w:r>
      <w:r>
        <w:rPr>
          <w:rFonts w:hint="eastAsia" w:ascii="仿宋" w:hAnsi="仿宋" w:eastAsia="仿宋"/>
          <w:color w:val="auto"/>
          <w:sz w:val="30"/>
          <w:szCs w:val="30"/>
        </w:rPr>
        <w:t>年质安站基本支出为</w:t>
      </w:r>
      <w:r>
        <w:rPr>
          <w:rFonts w:hint="eastAsia" w:ascii="仿宋" w:hAnsi="仿宋" w:eastAsia="仿宋"/>
          <w:color w:val="auto"/>
          <w:sz w:val="30"/>
          <w:szCs w:val="30"/>
          <w:lang w:val="en-US" w:eastAsia="zh-CN"/>
        </w:rPr>
        <w:t>261.68</w:t>
      </w:r>
      <w:r>
        <w:rPr>
          <w:rFonts w:hint="eastAsia" w:ascii="仿宋" w:hAnsi="仿宋" w:eastAsia="仿宋"/>
          <w:color w:val="auto"/>
          <w:sz w:val="30"/>
          <w:szCs w:val="30"/>
        </w:rPr>
        <w:t>万元，其中工资福利支出</w:t>
      </w:r>
      <w:r>
        <w:rPr>
          <w:rFonts w:hint="eastAsia" w:ascii="仿宋" w:hAnsi="仿宋" w:eastAsia="仿宋"/>
          <w:color w:val="auto"/>
          <w:sz w:val="30"/>
          <w:szCs w:val="30"/>
          <w:lang w:val="en-US" w:eastAsia="zh-CN"/>
        </w:rPr>
        <w:t>248.47</w:t>
      </w:r>
      <w:r>
        <w:rPr>
          <w:rFonts w:hint="eastAsia" w:ascii="仿宋" w:hAnsi="仿宋" w:eastAsia="仿宋"/>
          <w:color w:val="auto"/>
          <w:sz w:val="30"/>
          <w:szCs w:val="30"/>
        </w:rPr>
        <w:t>万元；商品和服务支出为</w:t>
      </w:r>
      <w:r>
        <w:rPr>
          <w:rFonts w:hint="eastAsia" w:ascii="仿宋" w:hAnsi="仿宋" w:eastAsia="仿宋"/>
          <w:color w:val="auto"/>
          <w:sz w:val="30"/>
          <w:szCs w:val="30"/>
          <w:lang w:val="en-US" w:eastAsia="zh-CN"/>
        </w:rPr>
        <w:t>13.39</w:t>
      </w:r>
      <w:r>
        <w:rPr>
          <w:rFonts w:hint="eastAsia" w:ascii="仿宋" w:hAnsi="仿宋" w:eastAsia="仿宋"/>
          <w:color w:val="auto"/>
          <w:sz w:val="30"/>
          <w:szCs w:val="30"/>
        </w:rPr>
        <w:t>万元。</w:t>
      </w:r>
    </w:p>
    <w:p>
      <w:pPr>
        <w:snapToGrid w:val="0"/>
        <w:spacing w:line="600" w:lineRule="exact"/>
        <w:ind w:firstLine="600" w:firstLineChars="200"/>
        <w:rPr>
          <w:rFonts w:ascii="仿宋" w:hAnsi="仿宋" w:eastAsia="仿宋"/>
          <w:color w:val="auto"/>
          <w:sz w:val="30"/>
          <w:szCs w:val="30"/>
        </w:rPr>
      </w:pPr>
      <w:r>
        <w:rPr>
          <w:rFonts w:ascii="仿宋" w:hAnsi="仿宋" w:eastAsia="仿宋"/>
          <w:color w:val="auto"/>
          <w:sz w:val="30"/>
          <w:szCs w:val="30"/>
        </w:rPr>
        <w:t>2、业务性专项执行情况</w:t>
      </w:r>
      <w:r>
        <w:rPr>
          <w:rFonts w:hint="eastAsia" w:ascii="仿宋" w:hAnsi="仿宋" w:eastAsia="仿宋"/>
          <w:color w:val="auto"/>
          <w:sz w:val="30"/>
          <w:szCs w:val="30"/>
        </w:rPr>
        <w:t>：20</w:t>
      </w:r>
      <w:r>
        <w:rPr>
          <w:rFonts w:hint="eastAsia" w:ascii="仿宋" w:hAnsi="仿宋" w:eastAsia="仿宋"/>
          <w:color w:val="auto"/>
          <w:sz w:val="30"/>
          <w:szCs w:val="30"/>
          <w:lang w:val="en-US" w:eastAsia="zh-CN"/>
        </w:rPr>
        <w:t>20</w:t>
      </w:r>
      <w:r>
        <w:rPr>
          <w:rFonts w:hint="eastAsia" w:ascii="仿宋" w:hAnsi="仿宋" w:eastAsia="仿宋"/>
          <w:color w:val="auto"/>
          <w:sz w:val="30"/>
          <w:szCs w:val="30"/>
        </w:rPr>
        <w:t>年质安站城乡专项资金为</w:t>
      </w:r>
      <w:r>
        <w:rPr>
          <w:rFonts w:hint="eastAsia" w:ascii="仿宋" w:hAnsi="仿宋" w:eastAsia="仿宋"/>
          <w:color w:val="auto"/>
          <w:sz w:val="30"/>
          <w:szCs w:val="30"/>
          <w:lang w:val="en-US" w:eastAsia="zh-CN"/>
        </w:rPr>
        <w:t>34</w:t>
      </w:r>
      <w:r>
        <w:rPr>
          <w:rFonts w:hint="eastAsia" w:ascii="仿宋" w:hAnsi="仿宋" w:eastAsia="仿宋"/>
          <w:color w:val="auto"/>
          <w:sz w:val="30"/>
          <w:szCs w:val="30"/>
        </w:rPr>
        <w:t>万元，其中《质安在线》栏目1</w:t>
      </w:r>
      <w:r>
        <w:rPr>
          <w:rFonts w:hint="eastAsia" w:ascii="仿宋" w:hAnsi="仿宋" w:eastAsia="仿宋"/>
          <w:color w:val="auto"/>
          <w:sz w:val="30"/>
          <w:szCs w:val="30"/>
          <w:lang w:val="en-US" w:eastAsia="zh-CN"/>
        </w:rPr>
        <w:t>2</w:t>
      </w:r>
      <w:r>
        <w:rPr>
          <w:rFonts w:hint="eastAsia" w:ascii="仿宋" w:hAnsi="仿宋" w:eastAsia="仿宋"/>
          <w:color w:val="auto"/>
          <w:sz w:val="30"/>
          <w:szCs w:val="30"/>
        </w:rPr>
        <w:t>万元；</w:t>
      </w:r>
      <w:r>
        <w:rPr>
          <w:rFonts w:hint="eastAsia" w:ascii="仿宋" w:hAnsi="仿宋" w:eastAsia="仿宋"/>
          <w:color w:val="auto"/>
          <w:sz w:val="30"/>
          <w:szCs w:val="30"/>
          <w:lang w:eastAsia="zh-CN"/>
        </w:rPr>
        <w:t>扬尘在线监控系统</w:t>
      </w:r>
      <w:r>
        <w:rPr>
          <w:rFonts w:hint="eastAsia" w:ascii="仿宋" w:hAnsi="仿宋" w:eastAsia="仿宋"/>
          <w:color w:val="auto"/>
          <w:sz w:val="30"/>
          <w:szCs w:val="30"/>
          <w:lang w:val="en-US" w:eastAsia="zh-CN"/>
        </w:rPr>
        <w:t>12万元；起重机械设备安全检测评估服务经费10万元，</w:t>
      </w:r>
      <w:r>
        <w:rPr>
          <w:rFonts w:hint="eastAsia" w:ascii="仿宋" w:hAnsi="仿宋" w:eastAsia="仿宋"/>
          <w:color w:val="auto"/>
          <w:sz w:val="30"/>
          <w:szCs w:val="30"/>
        </w:rPr>
        <w:t>已全部完成年初制定的工作任务。</w:t>
      </w:r>
      <w:bookmarkStart w:id="3" w:name="_GoBack"/>
      <w:bookmarkEnd w:id="3"/>
    </w:p>
    <w:p>
      <w:pPr>
        <w:spacing w:line="600" w:lineRule="exact"/>
        <w:ind w:right="641" w:firstLine="640" w:firstLineChars="200"/>
        <w:rPr>
          <w:rFonts w:hint="eastAsia" w:ascii="方正小标宋简体" w:hAnsi="方正小标宋简体" w:eastAsia="方正小标宋简体" w:cs="方正小标宋简体"/>
          <w:b/>
          <w:bCs/>
          <w:color w:val="auto"/>
          <w:sz w:val="32"/>
          <w:szCs w:val="32"/>
          <w:lang w:val="en-US" w:eastAsia="zh-CN"/>
        </w:rPr>
      </w:pPr>
      <w:r>
        <w:rPr>
          <w:rFonts w:hint="eastAsia" w:ascii="方正小标宋简体" w:hAnsi="方正小标宋简体" w:eastAsia="方正小标宋简体" w:cs="方正小标宋简体"/>
          <w:b/>
          <w:bCs/>
          <w:color w:val="auto"/>
          <w:sz w:val="32"/>
          <w:szCs w:val="32"/>
          <w:lang w:val="en-US" w:eastAsia="zh-CN"/>
        </w:rPr>
        <w:t>三、部门整体支出绩效情况</w:t>
      </w:r>
    </w:p>
    <w:p>
      <w:pPr>
        <w:snapToGrid w:val="0"/>
        <w:spacing w:line="600" w:lineRule="exact"/>
        <w:ind w:firstLine="600" w:firstLineChars="200"/>
        <w:rPr>
          <w:rFonts w:ascii="仿宋" w:hAnsi="仿宋" w:eastAsia="仿宋"/>
          <w:color w:val="auto"/>
          <w:sz w:val="30"/>
          <w:szCs w:val="30"/>
        </w:rPr>
      </w:pPr>
      <w:r>
        <w:rPr>
          <w:rFonts w:hint="eastAsia" w:ascii="仿宋" w:hAnsi="仿宋" w:eastAsia="仿宋"/>
          <w:color w:val="auto"/>
          <w:sz w:val="30"/>
          <w:szCs w:val="30"/>
        </w:rPr>
        <w:t>质量安全监督工作紧紧围绕“全面落实安全生产提升年”活动的宗旨，树立“安全发展”的理念，切实履行职责，主动为民服务，全面完成了局党委年初既定目标任务。我站自质安合并后实现了受监工地连续</w:t>
      </w:r>
      <w:r>
        <w:rPr>
          <w:rFonts w:hint="eastAsia" w:ascii="仿宋" w:hAnsi="仿宋" w:eastAsia="仿宋"/>
          <w:color w:val="auto"/>
          <w:sz w:val="30"/>
          <w:szCs w:val="30"/>
          <w:lang w:val="en-US" w:eastAsia="zh-CN"/>
        </w:rPr>
        <w:t>85</w:t>
      </w:r>
      <w:r>
        <w:rPr>
          <w:rFonts w:hint="eastAsia" w:ascii="仿宋" w:hAnsi="仿宋" w:eastAsia="仿宋"/>
          <w:color w:val="auto"/>
          <w:sz w:val="30"/>
          <w:szCs w:val="30"/>
        </w:rPr>
        <w:t>个月零死亡</w:t>
      </w:r>
      <w:r>
        <w:rPr>
          <w:rFonts w:hint="eastAsia" w:ascii="仿宋" w:hAnsi="仿宋" w:eastAsia="仿宋"/>
          <w:color w:val="auto"/>
          <w:sz w:val="30"/>
          <w:szCs w:val="30"/>
          <w:lang w:eastAsia="zh-CN"/>
        </w:rPr>
        <w:t>，</w:t>
      </w:r>
      <w:r>
        <w:rPr>
          <w:rFonts w:hint="eastAsia" w:ascii="仿宋" w:hAnsi="仿宋" w:eastAsia="仿宋"/>
          <w:color w:val="auto"/>
          <w:sz w:val="30"/>
          <w:szCs w:val="30"/>
        </w:rPr>
        <w:t>记录</w:t>
      </w:r>
      <w:r>
        <w:rPr>
          <w:rFonts w:hint="eastAsia" w:ascii="方正仿宋_GBK" w:hAnsi="方正仿宋_GBK" w:eastAsia="方正仿宋_GBK" w:cs="方正仿宋_GBK"/>
          <w:color w:val="auto"/>
          <w:sz w:val="32"/>
          <w:szCs w:val="32"/>
          <w:lang w:val="en-US" w:eastAsia="zh-CN"/>
        </w:rPr>
        <w:t>全市建筑业安全形势保持平稳可控</w:t>
      </w:r>
      <w:r>
        <w:rPr>
          <w:rFonts w:hint="eastAsia" w:ascii="仿宋" w:hAnsi="仿宋" w:eastAsia="仿宋"/>
          <w:color w:val="auto"/>
          <w:sz w:val="30"/>
          <w:szCs w:val="30"/>
        </w:rPr>
        <w:t>；</w:t>
      </w:r>
      <w:r>
        <w:rPr>
          <w:rFonts w:hint="eastAsia" w:ascii="方正仿宋_GBK" w:hAnsi="方正仿宋_GBK" w:eastAsia="方正仿宋_GBK" w:cs="方正仿宋_GBK"/>
          <w:color w:val="auto"/>
          <w:sz w:val="32"/>
          <w:szCs w:val="32"/>
          <w:lang w:val="en-US" w:eastAsia="zh-CN"/>
        </w:rPr>
        <w:t>严格扬尘治理，</w:t>
      </w:r>
      <w:r>
        <w:rPr>
          <w:rFonts w:hint="eastAsia" w:ascii="方正仿宋_GBK" w:hAnsi="方正仿宋_GBK" w:eastAsia="方正仿宋_GBK" w:cs="方正仿宋_GBK"/>
          <w:color w:val="auto"/>
          <w:kern w:val="0"/>
          <w:sz w:val="32"/>
          <w:szCs w:val="32"/>
          <w:lang w:val="en-US" w:eastAsia="zh-CN" w:bidi="ar-SA"/>
        </w:rPr>
        <w:t>建筑工地全面落实“八个100%”要求。</w:t>
      </w:r>
      <w:r>
        <w:rPr>
          <w:rFonts w:hint="eastAsia" w:ascii="方正仿宋_GBK" w:hAnsi="方正仿宋_GBK" w:eastAsia="方正仿宋_GBK" w:cs="方正仿宋_GBK"/>
          <w:color w:val="auto"/>
          <w:sz w:val="32"/>
          <w:szCs w:val="32"/>
          <w:lang w:val="en-US" w:eastAsia="zh-CN"/>
        </w:rPr>
        <w:t>全年受监工程45个、面积165万㎡；竣工验收项目29个、面积45万㎡；备案项目42个、面积88万㎡。质安监站下工地监督检查1320次，发现并处理一般问题355次。质安监站获评湘潭地区唯一一个省级建设工程质量安全文明监督机构，喻文峰同志、刘军同志分获省文明管理工作者、文明监督工作者。</w:t>
      </w:r>
      <w:r>
        <w:rPr>
          <w:rFonts w:hint="eastAsia" w:ascii="方正仿宋_GBK" w:hAnsi="方正仿宋_GBK" w:eastAsia="方正仿宋_GBK" w:cs="方正仿宋_GBK"/>
          <w:color w:val="auto"/>
          <w:kern w:val="0"/>
          <w:sz w:val="32"/>
          <w:szCs w:val="32"/>
          <w:lang w:val="en-US" w:eastAsia="zh-CN" w:bidi="ar-SA"/>
        </w:rPr>
        <w:t>在全省“守护一湖四水、建设生态强省”建设工程质量、安全监督技能竞赛中，质安监站选手刘军同志、李锦灿同志代表湘潭站参赛，取得安全监督团体二等奖、质量监督团体三等奖佳绩</w:t>
      </w:r>
      <w:r>
        <w:rPr>
          <w:rFonts w:hint="eastAsia" w:ascii="仿宋" w:hAnsi="仿宋" w:eastAsia="仿宋"/>
          <w:color w:val="auto"/>
          <w:sz w:val="30"/>
          <w:szCs w:val="30"/>
        </w:rPr>
        <w:t>；实现了所有建筑从业人员持证上岗；采用政府购买服务的形式成立了建筑起重机械设备专项管理小组，有效杜绝了安全事故的发生；</w:t>
      </w:r>
      <w:r>
        <w:rPr>
          <w:rFonts w:ascii="仿宋" w:hAnsi="仿宋" w:eastAsia="仿宋"/>
          <w:color w:val="auto"/>
          <w:sz w:val="30"/>
          <w:szCs w:val="30"/>
        </w:rPr>
        <w:t>克服资金困难，在</w:t>
      </w:r>
      <w:r>
        <w:rPr>
          <w:rFonts w:hint="eastAsia" w:ascii="仿宋" w:hAnsi="仿宋" w:eastAsia="仿宋"/>
          <w:color w:val="auto"/>
          <w:sz w:val="30"/>
          <w:szCs w:val="30"/>
        </w:rPr>
        <w:t>县级</w:t>
      </w:r>
      <w:r>
        <w:rPr>
          <w:rFonts w:ascii="仿宋" w:hAnsi="仿宋" w:eastAsia="仿宋"/>
          <w:color w:val="auto"/>
          <w:sz w:val="30"/>
          <w:szCs w:val="30"/>
        </w:rPr>
        <w:t>监管机构</w:t>
      </w:r>
      <w:r>
        <w:rPr>
          <w:rFonts w:hint="eastAsia" w:ascii="仿宋" w:hAnsi="仿宋" w:eastAsia="仿宋"/>
          <w:color w:val="auto"/>
          <w:sz w:val="30"/>
          <w:szCs w:val="30"/>
        </w:rPr>
        <w:t>中</w:t>
      </w:r>
      <w:r>
        <w:rPr>
          <w:rFonts w:ascii="仿宋" w:hAnsi="仿宋" w:eastAsia="仿宋"/>
          <w:color w:val="auto"/>
          <w:sz w:val="30"/>
          <w:szCs w:val="30"/>
        </w:rPr>
        <w:t>率先安装</w:t>
      </w:r>
      <w:r>
        <w:rPr>
          <w:rFonts w:hint="eastAsia" w:ascii="仿宋" w:hAnsi="仿宋" w:eastAsia="仿宋"/>
          <w:color w:val="auto"/>
          <w:sz w:val="30"/>
          <w:szCs w:val="30"/>
        </w:rPr>
        <w:t>扬尘治理在线监控终端，到目前为止，全市7家商品砼生产企业都已安装洗车平台和密闭物料棚，10多家企业已安装扬尘监控系，《质安在线》栏目创办</w:t>
      </w:r>
      <w:r>
        <w:rPr>
          <w:rFonts w:hint="eastAsia" w:ascii="仿宋" w:hAnsi="仿宋" w:eastAsia="仿宋"/>
          <w:color w:val="auto"/>
          <w:sz w:val="30"/>
          <w:szCs w:val="30"/>
          <w:lang w:eastAsia="zh-CN"/>
        </w:rPr>
        <w:t>十</w:t>
      </w:r>
      <w:r>
        <w:rPr>
          <w:rFonts w:hint="eastAsia" w:ascii="仿宋" w:hAnsi="仿宋" w:eastAsia="仿宋"/>
          <w:color w:val="auto"/>
          <w:sz w:val="30"/>
          <w:szCs w:val="30"/>
        </w:rPr>
        <w:t>年之久，共计已播放</w:t>
      </w:r>
      <w:r>
        <w:rPr>
          <w:rFonts w:hint="eastAsia" w:ascii="仿宋" w:hAnsi="仿宋" w:eastAsia="仿宋"/>
          <w:color w:val="auto"/>
          <w:sz w:val="30"/>
          <w:szCs w:val="30"/>
          <w:lang w:val="en-US" w:eastAsia="zh-CN"/>
        </w:rPr>
        <w:t>118</w:t>
      </w:r>
      <w:r>
        <w:rPr>
          <w:rFonts w:hint="eastAsia" w:ascii="仿宋" w:hAnsi="仿宋" w:eastAsia="仿宋"/>
          <w:color w:val="auto"/>
          <w:sz w:val="30"/>
          <w:szCs w:val="30"/>
        </w:rPr>
        <w:t>期，投入100万元，全省暂无先例。</w:t>
      </w:r>
    </w:p>
    <w:p>
      <w:pPr>
        <w:spacing w:line="600" w:lineRule="exact"/>
        <w:ind w:right="641" w:firstLine="640" w:firstLineChars="200"/>
        <w:rPr>
          <w:rFonts w:hint="eastAsia" w:ascii="方正小标宋简体" w:hAnsi="方正小标宋简体" w:eastAsia="方正小标宋简体" w:cs="方正小标宋简体"/>
          <w:b/>
          <w:bCs/>
          <w:color w:val="auto"/>
          <w:sz w:val="32"/>
          <w:szCs w:val="32"/>
          <w:lang w:val="en-US" w:eastAsia="zh-CN"/>
        </w:rPr>
      </w:pPr>
      <w:r>
        <w:rPr>
          <w:rFonts w:hint="eastAsia" w:ascii="方正小标宋简体" w:hAnsi="方正小标宋简体" w:eastAsia="方正小标宋简体" w:cs="方正小标宋简体"/>
          <w:b/>
          <w:bCs/>
          <w:color w:val="auto"/>
          <w:sz w:val="32"/>
          <w:szCs w:val="32"/>
          <w:lang w:val="en-US" w:eastAsia="zh-CN"/>
        </w:rPr>
        <w:t>四、存在的主要问题</w:t>
      </w:r>
    </w:p>
    <w:p>
      <w:pPr>
        <w:snapToGrid w:val="0"/>
        <w:spacing w:line="600" w:lineRule="exact"/>
        <w:ind w:firstLine="600" w:firstLineChars="200"/>
        <w:rPr>
          <w:rFonts w:ascii="仿宋" w:hAnsi="仿宋" w:eastAsia="仿宋"/>
          <w:color w:val="auto"/>
          <w:sz w:val="30"/>
          <w:szCs w:val="30"/>
        </w:rPr>
      </w:pPr>
      <w:r>
        <w:rPr>
          <w:rFonts w:hint="eastAsia" w:ascii="仿宋" w:hAnsi="仿宋" w:eastAsia="仿宋"/>
          <w:color w:val="auto"/>
          <w:sz w:val="30"/>
          <w:szCs w:val="30"/>
        </w:rPr>
        <w:t>我站在机构编制委员会定为公益一类事业单位，</w:t>
      </w:r>
      <w:r>
        <w:rPr>
          <w:rFonts w:hint="eastAsia" w:ascii="仿宋" w:hAnsi="仿宋" w:eastAsia="仿宋"/>
          <w:color w:val="auto"/>
          <w:sz w:val="30"/>
          <w:szCs w:val="30"/>
          <w:lang w:eastAsia="zh-CN"/>
        </w:rPr>
        <w:t>我单位因全市监督项目遍布城乡范围大、项目多，大部分工作人员没有公务用车补助、差旅费这块费用高</w:t>
      </w:r>
      <w:r>
        <w:rPr>
          <w:rFonts w:hint="eastAsia" w:ascii="仿宋" w:hAnsi="仿宋" w:eastAsia="仿宋"/>
          <w:color w:val="auto"/>
          <w:sz w:val="30"/>
          <w:szCs w:val="30"/>
        </w:rPr>
        <w:t>资金缺口较大。</w:t>
      </w:r>
    </w:p>
    <w:p>
      <w:pPr>
        <w:spacing w:line="600" w:lineRule="exact"/>
        <w:ind w:right="641" w:firstLine="640" w:firstLineChars="200"/>
        <w:rPr>
          <w:rFonts w:hint="eastAsia" w:ascii="方正小标宋简体" w:hAnsi="方正小标宋简体" w:eastAsia="方正小标宋简体" w:cs="方正小标宋简体"/>
          <w:b/>
          <w:bCs/>
          <w:color w:val="auto"/>
          <w:sz w:val="32"/>
          <w:szCs w:val="32"/>
          <w:lang w:val="en-US" w:eastAsia="zh-CN"/>
        </w:rPr>
      </w:pPr>
      <w:r>
        <w:rPr>
          <w:rFonts w:hint="eastAsia" w:ascii="方正小标宋简体" w:hAnsi="方正小标宋简体" w:eastAsia="方正小标宋简体" w:cs="方正小标宋简体"/>
          <w:b/>
          <w:bCs/>
          <w:color w:val="auto"/>
          <w:sz w:val="32"/>
          <w:szCs w:val="32"/>
          <w:lang w:val="en-US" w:eastAsia="zh-CN"/>
        </w:rPr>
        <w:t>五、改进措施和有关建议</w:t>
      </w:r>
    </w:p>
    <w:p>
      <w:pPr>
        <w:snapToGrid w:val="0"/>
        <w:spacing w:line="600" w:lineRule="exact"/>
        <w:rPr>
          <w:rFonts w:ascii="仿宋" w:hAnsi="仿宋" w:eastAsia="仿宋"/>
          <w:color w:val="auto"/>
          <w:sz w:val="30"/>
          <w:szCs w:val="30"/>
        </w:rPr>
      </w:pPr>
      <w:r>
        <w:rPr>
          <w:rFonts w:hint="eastAsia" w:ascii="仿宋" w:hAnsi="仿宋" w:eastAsia="仿宋"/>
          <w:color w:val="auto"/>
          <w:sz w:val="30"/>
          <w:szCs w:val="30"/>
        </w:rPr>
        <w:t>建议：请求财政局</w:t>
      </w:r>
      <w:r>
        <w:rPr>
          <w:rFonts w:hint="eastAsia" w:ascii="仿宋" w:hAnsi="仿宋" w:eastAsia="仿宋"/>
          <w:color w:val="auto"/>
          <w:sz w:val="30"/>
          <w:szCs w:val="30"/>
          <w:lang w:eastAsia="zh-CN"/>
        </w:rPr>
        <w:t>增加事业单位工作人员的公务用车补助到人</w:t>
      </w:r>
      <w:r>
        <w:rPr>
          <w:rFonts w:hint="eastAsia" w:ascii="仿宋" w:hAnsi="仿宋" w:eastAsia="仿宋"/>
          <w:color w:val="auto"/>
          <w:sz w:val="30"/>
          <w:szCs w:val="30"/>
        </w:rPr>
        <w:t>。</w:t>
      </w:r>
    </w:p>
    <w:p>
      <w:pPr>
        <w:numPr>
          <w:ilvl w:val="0"/>
          <w:numId w:val="2"/>
        </w:numPr>
        <w:snapToGrid w:val="0"/>
        <w:spacing w:line="600" w:lineRule="exact"/>
        <w:ind w:firstLine="640" w:firstLineChars="200"/>
        <w:rPr>
          <w:rFonts w:hint="default" w:ascii="仿宋" w:hAnsi="仿宋" w:eastAsia="仿宋"/>
          <w:b/>
          <w:bCs/>
          <w:color w:val="auto"/>
          <w:sz w:val="30"/>
          <w:szCs w:val="30"/>
          <w:lang w:val="en-US" w:eastAsia="zh-CN"/>
        </w:rPr>
      </w:pPr>
      <w:r>
        <w:rPr>
          <w:rFonts w:hint="eastAsia" w:ascii="方正小标宋简体" w:hAnsi="方正小标宋简体" w:eastAsia="方正小标宋简体" w:cs="方正小标宋简体"/>
          <w:b/>
          <w:bCs/>
          <w:color w:val="auto"/>
          <w:sz w:val="32"/>
          <w:szCs w:val="32"/>
          <w:lang w:val="en-US" w:eastAsia="zh-CN"/>
        </w:rPr>
        <w:t>附附件2</w:t>
      </w:r>
      <w:r>
        <w:rPr>
          <w:rFonts w:hint="eastAsia" w:ascii="仿宋" w:hAnsi="仿宋" w:eastAsia="仿宋"/>
          <w:b/>
          <w:bCs/>
          <w:color w:val="auto"/>
          <w:sz w:val="30"/>
          <w:szCs w:val="30"/>
          <w:lang w:val="en-US" w:eastAsia="zh-CN"/>
        </w:rPr>
        <w:t>：部门整体支出绩效评价指标体系</w:t>
      </w:r>
    </w:p>
    <w:p>
      <w:pPr>
        <w:numPr>
          <w:ilvl w:val="0"/>
          <w:numId w:val="0"/>
        </w:numPr>
        <w:snapToGrid w:val="0"/>
        <w:spacing w:line="600" w:lineRule="exact"/>
        <w:jc w:val="both"/>
        <w:rPr>
          <w:rFonts w:hint="eastAsia" w:ascii="仿宋" w:hAnsi="仿宋" w:eastAsia="仿宋"/>
          <w:b/>
          <w:bCs/>
          <w:color w:val="auto"/>
          <w:sz w:val="30"/>
          <w:szCs w:val="30"/>
          <w:lang w:val="en-US" w:eastAsia="zh-CN"/>
        </w:rPr>
      </w:pPr>
    </w:p>
    <w:p>
      <w:pPr>
        <w:numPr>
          <w:ilvl w:val="0"/>
          <w:numId w:val="0"/>
        </w:numPr>
        <w:snapToGrid w:val="0"/>
        <w:spacing w:line="600" w:lineRule="exact"/>
        <w:ind w:firstLine="3900" w:firstLineChars="1300"/>
        <w:jc w:val="both"/>
        <w:rPr>
          <w:rFonts w:hint="eastAsia" w:ascii="仿宋" w:hAnsi="仿宋" w:eastAsia="仿宋"/>
          <w:b/>
          <w:bCs/>
          <w:color w:val="auto"/>
          <w:sz w:val="30"/>
          <w:szCs w:val="30"/>
          <w:lang w:val="en-US" w:eastAsia="zh-CN"/>
        </w:rPr>
      </w:pPr>
      <w:r>
        <w:rPr>
          <w:rFonts w:hint="eastAsia" w:ascii="仿宋" w:hAnsi="仿宋" w:eastAsia="仿宋"/>
          <w:b/>
          <w:bCs/>
          <w:color w:val="auto"/>
          <w:sz w:val="30"/>
          <w:szCs w:val="30"/>
          <w:lang w:val="en-US" w:eastAsia="zh-CN"/>
        </w:rPr>
        <w:t>湘乡市建设工程质量安全监督站</w:t>
      </w:r>
    </w:p>
    <w:p>
      <w:pPr>
        <w:numPr>
          <w:ilvl w:val="0"/>
          <w:numId w:val="0"/>
        </w:numPr>
        <w:snapToGrid w:val="0"/>
        <w:spacing w:line="600" w:lineRule="exact"/>
        <w:jc w:val="center"/>
        <w:rPr>
          <w:rFonts w:hint="eastAsia" w:ascii="仿宋" w:hAnsi="仿宋" w:eastAsia="仿宋"/>
          <w:b/>
          <w:bCs/>
          <w:color w:val="auto"/>
          <w:sz w:val="30"/>
          <w:szCs w:val="30"/>
          <w:lang w:val="en-US" w:eastAsia="zh-CN"/>
        </w:rPr>
        <w:sectPr>
          <w:pgSz w:w="11906" w:h="16838"/>
          <w:pgMar w:top="1701" w:right="1701" w:bottom="1701" w:left="1701" w:header="851" w:footer="992" w:gutter="0"/>
          <w:cols w:space="425" w:num="1"/>
          <w:docGrid w:type="linesAndChars" w:linePitch="312" w:charSpace="0"/>
        </w:sectPr>
      </w:pPr>
      <w:r>
        <w:rPr>
          <w:rFonts w:hint="eastAsia" w:ascii="仿宋" w:hAnsi="仿宋" w:eastAsia="仿宋"/>
          <w:b/>
          <w:bCs/>
          <w:color w:val="auto"/>
          <w:sz w:val="30"/>
          <w:szCs w:val="30"/>
          <w:lang w:val="en-US" w:eastAsia="zh-CN"/>
        </w:rPr>
        <w:t xml:space="preserve">                          2021年8月15日</w:t>
      </w:r>
    </w:p>
    <w:p>
      <w:pPr>
        <w:numPr>
          <w:ilvl w:val="0"/>
          <w:numId w:val="0"/>
        </w:numPr>
        <w:snapToGrid w:val="0"/>
        <w:spacing w:line="600" w:lineRule="exact"/>
        <w:jc w:val="both"/>
        <w:rPr>
          <w:rFonts w:hint="default" w:ascii="仿宋" w:hAnsi="仿宋" w:eastAsia="仿宋"/>
          <w:b/>
          <w:bCs/>
          <w:color w:val="auto"/>
          <w:sz w:val="30"/>
          <w:szCs w:val="30"/>
          <w:lang w:val="en-US" w:eastAsia="zh-CN"/>
        </w:rPr>
      </w:pPr>
      <w:r>
        <w:rPr>
          <w:rFonts w:hint="eastAsia" w:ascii="仿宋" w:hAnsi="仿宋" w:eastAsia="仿宋"/>
          <w:b/>
          <w:bCs/>
          <w:color w:val="auto"/>
          <w:sz w:val="30"/>
          <w:szCs w:val="30"/>
          <w:lang w:val="en-US" w:eastAsia="zh-CN"/>
        </w:rPr>
        <w:t>附件2：</w:t>
      </w:r>
    </w:p>
    <w:p>
      <w:pPr>
        <w:pStyle w:val="2"/>
        <w:ind w:left="0" w:leftChars="0" w:firstLine="0" w:firstLineChars="0"/>
        <w:rPr>
          <w:rFonts w:hint="eastAsia"/>
          <w:lang w:val="en-US" w:eastAsia="zh-CN"/>
        </w:rPr>
      </w:pPr>
    </w:p>
    <w:p>
      <w:pPr>
        <w:rPr>
          <w:rFonts w:hint="default"/>
          <w:lang w:val="en-US" w:eastAsia="zh-CN"/>
        </w:rPr>
        <w:sectPr>
          <w:pgSz w:w="11906" w:h="16838"/>
          <w:pgMar w:top="1701" w:right="1701" w:bottom="1701" w:left="1701" w:header="851" w:footer="992" w:gutter="0"/>
          <w:cols w:space="425" w:num="1"/>
          <w:docGrid w:type="linesAndChars" w:linePitch="312" w:charSpace="0"/>
        </w:sectPr>
      </w:pPr>
      <w:r>
        <w:rPr>
          <w:rFonts w:hint="eastAsia"/>
          <w:lang w:val="en-US" w:eastAsia="zh-CN"/>
        </w:rPr>
        <w:t xml:space="preserve">  </w:t>
      </w:r>
      <w:r>
        <w:rPr>
          <w:rFonts w:hint="eastAsia" w:cs="黑体" w:asciiTheme="minorEastAsia" w:hAnsiTheme="minorEastAsia" w:eastAsiaTheme="minorEastAsia"/>
          <w:b/>
          <w:color w:val="auto"/>
          <w:kern w:val="0"/>
          <w:sz w:val="32"/>
          <w:szCs w:val="32"/>
          <w:lang w:eastAsia="zh-CN"/>
        </w:rPr>
        <w:drawing>
          <wp:inline distT="0" distB="0" distL="114300" distR="114300">
            <wp:extent cx="5399405" cy="7494905"/>
            <wp:effectExtent l="0" t="0" r="10795" b="10795"/>
            <wp:docPr id="2" name="图片 2" descr="a9017d4551b85be4d4fb795ff1862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9017d4551b85be4d4fb795ff186248"/>
                    <pic:cNvPicPr>
                      <a:picLocks noChangeAspect="1"/>
                    </pic:cNvPicPr>
                  </pic:nvPicPr>
                  <pic:blipFill>
                    <a:blip r:embed="rId4"/>
                    <a:srcRect t="4728" r="8469"/>
                    <a:stretch>
                      <a:fillRect/>
                    </a:stretch>
                  </pic:blipFill>
                  <pic:spPr>
                    <a:xfrm>
                      <a:off x="0" y="0"/>
                      <a:ext cx="5399405" cy="7494905"/>
                    </a:xfrm>
                    <a:prstGeom prst="rect">
                      <a:avLst/>
                    </a:prstGeom>
                  </pic:spPr>
                </pic:pic>
              </a:graphicData>
            </a:graphic>
          </wp:inline>
        </w:drawing>
      </w:r>
    </w:p>
    <w:p>
      <w:pPr>
        <w:rPr>
          <w:rFonts w:hint="eastAsia"/>
          <w:lang w:val="en-US" w:eastAsia="zh-CN"/>
        </w:rPr>
      </w:pPr>
    </w:p>
    <w:p>
      <w:pPr>
        <w:ind w:firstLine="640" w:firstLineChars="200"/>
        <w:jc w:val="left"/>
        <w:rPr>
          <w:rFonts w:cs="黑体" w:asciiTheme="minorEastAsia" w:hAnsiTheme="minorEastAsia"/>
          <w:color w:val="000000"/>
          <w:kern w:val="0"/>
          <w:sz w:val="32"/>
          <w:szCs w:val="32"/>
        </w:rPr>
      </w:pPr>
      <w:r>
        <w:rPr>
          <w:rFonts w:hint="eastAsia" w:cs="黑体" w:asciiTheme="minorEastAsia" w:hAnsiTheme="minorEastAsia" w:eastAsiaTheme="minorEastAsia"/>
          <w:b/>
          <w:color w:val="auto"/>
          <w:kern w:val="0"/>
          <w:sz w:val="32"/>
          <w:szCs w:val="32"/>
          <w:lang w:eastAsia="zh-CN"/>
        </w:rPr>
        <w:drawing>
          <wp:inline distT="0" distB="0" distL="114300" distR="114300">
            <wp:extent cx="5539105" cy="7144385"/>
            <wp:effectExtent l="0" t="0" r="4445" b="18415"/>
            <wp:docPr id="3" name="图片 3" descr="a936596e0143ce5e6ad271049333e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a936596e0143ce5e6ad271049333e26"/>
                    <pic:cNvPicPr>
                      <a:picLocks noChangeAspect="1"/>
                    </pic:cNvPicPr>
                  </pic:nvPicPr>
                  <pic:blipFill>
                    <a:blip r:embed="rId5"/>
                    <a:srcRect b="3275"/>
                    <a:stretch>
                      <a:fillRect/>
                    </a:stretch>
                  </pic:blipFill>
                  <pic:spPr>
                    <a:xfrm>
                      <a:off x="0" y="0"/>
                      <a:ext cx="5539105" cy="7144385"/>
                    </a:xfrm>
                    <a:prstGeom prst="rect">
                      <a:avLst/>
                    </a:prstGeom>
                  </pic:spPr>
                </pic:pic>
              </a:graphicData>
            </a:graphic>
          </wp:inline>
        </w:drawing>
      </w:r>
    </w:p>
    <w:sectPr>
      <w:pgSz w:w="11906" w:h="16838"/>
      <w:pgMar w:top="1701" w:right="1701" w:bottom="1701" w:left="1701"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E8072E80-CEC7-4120-BC5D-3ECB1C3EE874}"/>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2" w:fontKey="{F83DBDB6-C621-48E6-9130-693DBFFAC358}"/>
  </w:font>
  <w:font w:name="仿宋_GB2312">
    <w:panose1 w:val="02010609030101010101"/>
    <w:charset w:val="86"/>
    <w:family w:val="modern"/>
    <w:pitch w:val="default"/>
    <w:sig w:usb0="00000000" w:usb1="00000000" w:usb2="00000000" w:usb3="00000000" w:csb0="00000000" w:csb1="00000000"/>
    <w:embedRegular r:id="rId3" w:fontKey="{CC793EFA-CA81-4A06-BF7A-206CDAE237EC}"/>
  </w:font>
  <w:font w:name="华文中宋">
    <w:panose1 w:val="02010600040101010101"/>
    <w:charset w:val="86"/>
    <w:family w:val="auto"/>
    <w:pitch w:val="default"/>
    <w:sig w:usb0="00000287" w:usb1="080F0000" w:usb2="00000000" w:usb3="00000000" w:csb0="0004009F" w:csb1="DFD70000"/>
    <w:embedRegular r:id="rId4" w:fontKey="{1A295C33-62A2-4318-8099-BF4AF5744648}"/>
  </w:font>
  <w:font w:name="方正小标宋_GBK">
    <w:panose1 w:val="02000000000000000000"/>
    <w:charset w:val="86"/>
    <w:family w:val="script"/>
    <w:pitch w:val="default"/>
    <w:sig w:usb0="A00002BF" w:usb1="38CF7CFA" w:usb2="00082016" w:usb3="00000000" w:csb0="00040001" w:csb1="00000000"/>
    <w:embedRegular r:id="rId5" w:fontKey="{CB010849-5048-4786-9B6A-70EC6A497979}"/>
  </w:font>
  <w:font w:name="方正仿宋简体">
    <w:panose1 w:val="02000000000000000000"/>
    <w:charset w:val="86"/>
    <w:family w:val="auto"/>
    <w:pitch w:val="default"/>
    <w:sig w:usb0="A00002BF" w:usb1="184F6CFA" w:usb2="00000012" w:usb3="00000000" w:csb0="00040001" w:csb1="00000000"/>
    <w:embedRegular r:id="rId6" w:fontKey="{D2478A7D-E2B4-4DD4-A1C6-26228838F202}"/>
  </w:font>
  <w:font w:name="方正仿宋_GBK">
    <w:panose1 w:val="02000000000000000000"/>
    <w:charset w:val="86"/>
    <w:family w:val="auto"/>
    <w:pitch w:val="default"/>
    <w:sig w:usb0="A00002BF" w:usb1="38CF7CFA" w:usb2="00082016" w:usb3="00000000" w:csb0="00040001" w:csb1="00000000"/>
    <w:embedRegular r:id="rId7" w:fontKey="{5193998C-15C8-4869-AFBE-E02574BF3C5A}"/>
  </w:font>
  <w:font w:name="仿宋">
    <w:panose1 w:val="02010609060101010101"/>
    <w:charset w:val="86"/>
    <w:family w:val="modern"/>
    <w:pitch w:val="default"/>
    <w:sig w:usb0="800002BF" w:usb1="38CF7CFA" w:usb2="00000016" w:usb3="00000000" w:csb0="00040001" w:csb1="00000000"/>
    <w:embedRegular r:id="rId8" w:fontKey="{74C05FF6-B24C-430D-9F1F-9B320FD62FE2}"/>
  </w:font>
  <w:font w:name="方正小标宋简体">
    <w:panose1 w:val="02000000000000000000"/>
    <w:charset w:val="86"/>
    <w:family w:val="auto"/>
    <w:pitch w:val="default"/>
    <w:sig w:usb0="00000001" w:usb1="08000000" w:usb2="00000000" w:usb3="00000000" w:csb0="00040000" w:csb1="00000000"/>
    <w:embedRegular r:id="rId9" w:fontKey="{520C7159-7E8D-45A7-A5A9-B6CBB7029A36}"/>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536A427"/>
    <w:multiLevelType w:val="singleLevel"/>
    <w:tmpl w:val="F536A427"/>
    <w:lvl w:ilvl="0" w:tentative="0">
      <w:start w:val="1"/>
      <w:numFmt w:val="decimal"/>
      <w:suff w:val="nothing"/>
      <w:lvlText w:val="%1、"/>
      <w:lvlJc w:val="left"/>
    </w:lvl>
  </w:abstractNum>
  <w:abstractNum w:abstractNumId="1">
    <w:nsid w:val="37B71F7D"/>
    <w:multiLevelType w:val="singleLevel"/>
    <w:tmpl w:val="37B71F7D"/>
    <w:lvl w:ilvl="0" w:tentative="0">
      <w:start w:val="6"/>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TrueTypeFonts/>
  <w:saveSubsetFonts/>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506F9"/>
    <w:rsid w:val="0002229B"/>
    <w:rsid w:val="000273BD"/>
    <w:rsid w:val="000415B7"/>
    <w:rsid w:val="00041E3F"/>
    <w:rsid w:val="00055DAA"/>
    <w:rsid w:val="00061F7B"/>
    <w:rsid w:val="000658A3"/>
    <w:rsid w:val="00074155"/>
    <w:rsid w:val="000A3F69"/>
    <w:rsid w:val="00103957"/>
    <w:rsid w:val="00152C6D"/>
    <w:rsid w:val="00162D39"/>
    <w:rsid w:val="001678BD"/>
    <w:rsid w:val="001A67DB"/>
    <w:rsid w:val="001C3C29"/>
    <w:rsid w:val="001D51E5"/>
    <w:rsid w:val="001E080D"/>
    <w:rsid w:val="001E53D0"/>
    <w:rsid w:val="001F0C3B"/>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7E6"/>
    <w:rsid w:val="003C4FC2"/>
    <w:rsid w:val="00416E61"/>
    <w:rsid w:val="0042790C"/>
    <w:rsid w:val="004506F9"/>
    <w:rsid w:val="004717A2"/>
    <w:rsid w:val="00473DF3"/>
    <w:rsid w:val="00487911"/>
    <w:rsid w:val="00491741"/>
    <w:rsid w:val="00500E5F"/>
    <w:rsid w:val="005122EF"/>
    <w:rsid w:val="0051441A"/>
    <w:rsid w:val="00517C33"/>
    <w:rsid w:val="00523644"/>
    <w:rsid w:val="0054069E"/>
    <w:rsid w:val="00544866"/>
    <w:rsid w:val="005767CC"/>
    <w:rsid w:val="00590D9F"/>
    <w:rsid w:val="00595D26"/>
    <w:rsid w:val="005A74E6"/>
    <w:rsid w:val="005B404E"/>
    <w:rsid w:val="005D4D55"/>
    <w:rsid w:val="005E2CFB"/>
    <w:rsid w:val="005F3D1C"/>
    <w:rsid w:val="0062378F"/>
    <w:rsid w:val="00641842"/>
    <w:rsid w:val="00651EEC"/>
    <w:rsid w:val="00691E8C"/>
    <w:rsid w:val="006A22C4"/>
    <w:rsid w:val="006A351B"/>
    <w:rsid w:val="006B0422"/>
    <w:rsid w:val="006C1B53"/>
    <w:rsid w:val="006D7730"/>
    <w:rsid w:val="006E5284"/>
    <w:rsid w:val="006F3EB5"/>
    <w:rsid w:val="00702E34"/>
    <w:rsid w:val="00704395"/>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44EE"/>
    <w:rsid w:val="00DD06FF"/>
    <w:rsid w:val="00DD5FE9"/>
    <w:rsid w:val="00E00C7A"/>
    <w:rsid w:val="00E37D6C"/>
    <w:rsid w:val="00E55B68"/>
    <w:rsid w:val="00E67BE6"/>
    <w:rsid w:val="00E8683C"/>
    <w:rsid w:val="00EA2B72"/>
    <w:rsid w:val="00F74360"/>
    <w:rsid w:val="00FB462F"/>
    <w:rsid w:val="00FE16FA"/>
    <w:rsid w:val="00FE328A"/>
    <w:rsid w:val="00FE6269"/>
    <w:rsid w:val="01D941F5"/>
    <w:rsid w:val="11C0311D"/>
    <w:rsid w:val="1DEF1BF8"/>
    <w:rsid w:val="1F4C171B"/>
    <w:rsid w:val="24531461"/>
    <w:rsid w:val="26612324"/>
    <w:rsid w:val="32BF37DB"/>
    <w:rsid w:val="4C7630E3"/>
    <w:rsid w:val="5DAC398B"/>
    <w:rsid w:val="788A73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qFormat="1" w:unhideWhenUsed="0" w:uiPriority="99" w:semiHidden="0"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index 8"/>
    <w:basedOn w:val="1"/>
    <w:next w:val="1"/>
    <w:qFormat/>
    <w:uiPriority w:val="99"/>
    <w:pPr>
      <w:ind w:left="2940"/>
    </w:pPr>
  </w:style>
  <w:style w:type="paragraph" w:styleId="3">
    <w:name w:val="Balloon Text"/>
    <w:basedOn w:val="1"/>
    <w:link w:val="12"/>
    <w:semiHidden/>
    <w:unhideWhenUsed/>
    <w:qFormat/>
    <w:uiPriority w:val="99"/>
    <w:rPr>
      <w:sz w:val="18"/>
      <w:szCs w:val="18"/>
    </w:rPr>
  </w:style>
  <w:style w:type="paragraph" w:styleId="4">
    <w:name w:val="footer"/>
    <w:basedOn w:val="1"/>
    <w:link w:val="9"/>
    <w:unhideWhenUsed/>
    <w:qFormat/>
    <w:uiPriority w:val="99"/>
    <w:pPr>
      <w:tabs>
        <w:tab w:val="center" w:pos="4153"/>
        <w:tab w:val="right" w:pos="8306"/>
      </w:tabs>
      <w:snapToGrid w:val="0"/>
      <w:jc w:val="left"/>
    </w:pPr>
    <w:rPr>
      <w:sz w:val="18"/>
      <w:szCs w:val="18"/>
    </w:rPr>
  </w:style>
  <w:style w:type="paragraph" w:styleId="5">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99"/>
    <w:rPr>
      <w:sz w:val="18"/>
      <w:szCs w:val="18"/>
    </w:rPr>
  </w:style>
  <w:style w:type="character" w:customStyle="1" w:styleId="9">
    <w:name w:val="页脚 Char"/>
    <w:basedOn w:val="7"/>
    <w:link w:val="4"/>
    <w:qFormat/>
    <w:uiPriority w:val="99"/>
    <w:rPr>
      <w:sz w:val="18"/>
      <w:szCs w:val="18"/>
    </w:rPr>
  </w:style>
  <w:style w:type="paragraph" w:customStyle="1" w:styleId="10">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1">
    <w:name w:val="List Paragraph"/>
    <w:basedOn w:val="1"/>
    <w:qFormat/>
    <w:uiPriority w:val="34"/>
    <w:pPr>
      <w:ind w:firstLine="420" w:firstLineChars="200"/>
    </w:pPr>
  </w:style>
  <w:style w:type="character" w:customStyle="1" w:styleId="12">
    <w:name w:val="批注框文本 Char"/>
    <w:basedOn w:val="7"/>
    <w:link w:val="3"/>
    <w:semiHidden/>
    <w:qFormat/>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68E8E99-0876-4457-84BE-74A901AF77D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24</Pages>
  <Words>1308</Words>
  <Characters>7462</Characters>
  <Lines>62</Lines>
  <Paragraphs>17</Paragraphs>
  <TotalTime>2</TotalTime>
  <ScaleCrop>false</ScaleCrop>
  <LinksUpToDate>false</LinksUpToDate>
  <CharactersWithSpaces>8753</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莫静</cp:lastModifiedBy>
  <cp:lastPrinted>2021-07-28T00:12:00Z</cp:lastPrinted>
  <dcterms:modified xsi:type="dcterms:W3CDTF">2021-08-17T01:48:50Z</dcterms:modified>
  <cp:revision>61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y fmtid="{D5CDD505-2E9C-101B-9397-08002B2CF9AE}" pid="3" name="ICV">
    <vt:lpwstr>5805EB73F79B480C8CF6E105D7C3F6D4</vt:lpwstr>
  </property>
</Properties>
</file>